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tblpY="-19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77"/>
        <w:gridCol w:w="1902"/>
        <w:gridCol w:w="3328"/>
      </w:tblGrid>
      <w:tr w:rsidR="00B02C76" w:rsidRPr="00FA4EAF" w:rsidTr="007F09CE">
        <w:trPr>
          <w:trHeight w:val="295"/>
        </w:trPr>
        <w:tc>
          <w:tcPr>
            <w:tcW w:w="4979" w:type="dxa"/>
            <w:gridSpan w:val="2"/>
          </w:tcPr>
          <w:p w:rsidR="00B02C76" w:rsidRPr="00FA4EAF" w:rsidRDefault="00B02C76" w:rsidP="00B02C76">
            <w:pPr>
              <w:rPr>
                <w:rFonts w:ascii="Arial" w:hAnsi="Arial"/>
                <w:b/>
                <w:bCs/>
                <w:noProof w:val="0"/>
                <w:sz w:val="26"/>
                <w:szCs w:val="26"/>
                <w:rtl/>
              </w:rPr>
            </w:pPr>
            <w:bookmarkStart w:id="0" w:name="_GoBack"/>
            <w:bookmarkEnd w:id="0"/>
          </w:p>
        </w:tc>
        <w:tc>
          <w:tcPr>
            <w:tcW w:w="3328" w:type="dxa"/>
          </w:tcPr>
          <w:p w:rsidR="00B02C76" w:rsidRPr="00FA4EAF" w:rsidRDefault="008924AB" w:rsidP="00A03128">
            <w:pPr>
              <w:jc w:val="right"/>
              <w:rPr>
                <w:rFonts w:ascii="Arial" w:hAnsi="Arial"/>
                <w:b/>
                <w:bCs/>
                <w:noProof w:val="0"/>
                <w:sz w:val="26"/>
                <w:szCs w:val="26"/>
                <w:rtl/>
              </w:rPr>
            </w:pPr>
            <w:r>
              <w:rPr>
                <w:rFonts w:hint="cs"/>
                <w:sz w:val="26"/>
                <w:szCs w:val="26"/>
                <w:rtl/>
              </w:rPr>
              <w:t xml:space="preserve"> </w:t>
            </w:r>
          </w:p>
        </w:tc>
      </w:tr>
      <w:tr w:rsidR="00B02C76" w:rsidRPr="00FA4EAF" w:rsidTr="007F09CE">
        <w:tc>
          <w:tcPr>
            <w:tcW w:w="8307" w:type="dxa"/>
            <w:gridSpan w:val="3"/>
          </w:tcPr>
          <w:p w:rsidR="00B02C76" w:rsidRDefault="00B02C76" w:rsidP="00B02C76">
            <w:pPr>
              <w:jc w:val="both"/>
              <w:rPr>
                <w:rFonts w:ascii="Arial" w:hAnsi="Arial"/>
                <w:b/>
                <w:bCs/>
                <w:sz w:val="26"/>
                <w:szCs w:val="26"/>
                <w:rtl/>
              </w:rPr>
            </w:pPr>
            <w:r w:rsidRPr="00DE1DD0">
              <w:rPr>
                <w:rFonts w:ascii="Arial" w:hAnsi="Arial" w:hint="cs"/>
                <w:b/>
                <w:bCs/>
                <w:sz w:val="30"/>
                <w:szCs w:val="30"/>
                <w:rtl/>
              </w:rPr>
              <w:t>ל</w:t>
            </w:r>
            <w:r w:rsidRPr="00DE1DD0">
              <w:rPr>
                <w:rFonts w:ascii="Arial" w:hAnsi="Arial"/>
                <w:b/>
                <w:bCs/>
                <w:sz w:val="30"/>
                <w:szCs w:val="30"/>
                <w:rtl/>
              </w:rPr>
              <w:t>פני</w:t>
            </w:r>
            <w:r w:rsidRPr="00DE1DD0">
              <w:rPr>
                <w:rFonts w:ascii="Arial" w:hAnsi="Arial" w:hint="cs"/>
                <w:b/>
                <w:bCs/>
                <w:sz w:val="30"/>
                <w:szCs w:val="30"/>
                <w:rtl/>
              </w:rPr>
              <w:t xml:space="preserve"> כבוד ה</w:t>
            </w:r>
            <w:sdt>
              <w:sdtPr>
                <w:rPr>
                  <w:sz w:val="30"/>
                  <w:szCs w:val="30"/>
                  <w:rtl/>
                </w:rPr>
                <w:alias w:val="1574"/>
                <w:tag w:val="1574"/>
                <w:id w:val="414602899"/>
                <w:text w:multiLine="1"/>
              </w:sdtPr>
              <w:sdtEndPr/>
              <w:sdtContent>
                <w:r w:rsidRPr="00DE1DD0">
                  <w:rPr>
                    <w:rFonts w:ascii="Arial" w:hAnsi="Arial"/>
                    <w:b/>
                    <w:bCs/>
                    <w:sz w:val="30"/>
                    <w:szCs w:val="30"/>
                    <w:rtl/>
                  </w:rPr>
                  <w:t>שופט</w:t>
                </w:r>
              </w:sdtContent>
            </w:sdt>
            <w:r w:rsidRPr="00DE1DD0">
              <w:rPr>
                <w:rFonts w:ascii="Arial" w:hAnsi="Arial" w:hint="cs"/>
                <w:b/>
                <w:bCs/>
                <w:sz w:val="30"/>
                <w:szCs w:val="30"/>
                <w:rtl/>
              </w:rPr>
              <w:t xml:space="preserve"> </w:t>
            </w:r>
            <w:sdt>
              <w:sdtPr>
                <w:rPr>
                  <w:sz w:val="30"/>
                  <w:szCs w:val="30"/>
                  <w:rtl/>
                </w:rPr>
                <w:alias w:val="1573"/>
                <w:tag w:val="1573"/>
                <w:id w:val="-1751030614"/>
                <w:text w:multiLine="1"/>
              </w:sdtPr>
              <w:sdtEndPr/>
              <w:sdtContent>
                <w:r w:rsidRPr="00DE1DD0">
                  <w:rPr>
                    <w:rFonts w:ascii="Arial" w:hAnsi="Arial"/>
                    <w:b/>
                    <w:bCs/>
                    <w:sz w:val="30"/>
                    <w:szCs w:val="30"/>
                    <w:rtl/>
                  </w:rPr>
                  <w:t>אביים ברקאי</w:t>
                </w:r>
              </w:sdtContent>
            </w:sdt>
          </w:p>
          <w:p w:rsidR="008924AB" w:rsidRPr="00314311" w:rsidRDefault="008924AB" w:rsidP="00B02C76">
            <w:pPr>
              <w:jc w:val="both"/>
              <w:rPr>
                <w:rFonts w:ascii="Arial" w:hAnsi="Arial"/>
                <w:b/>
                <w:bCs/>
                <w:sz w:val="26"/>
                <w:szCs w:val="26"/>
              </w:rPr>
            </w:pPr>
          </w:p>
        </w:tc>
      </w:tr>
      <w:tr w:rsidR="00B02C76" w:rsidRPr="00FA4EAF" w:rsidTr="007F09CE">
        <w:tc>
          <w:tcPr>
            <w:tcW w:w="3077" w:type="dxa"/>
          </w:tcPr>
          <w:p w:rsidR="00B02C76" w:rsidRPr="00FA4EAF" w:rsidRDefault="00B02C76" w:rsidP="00DE1DD0">
            <w:pPr>
              <w:rPr>
                <w:rFonts w:ascii="Arial" w:hAnsi="Arial"/>
                <w:b/>
                <w:bCs/>
                <w:noProof w:val="0"/>
                <w:sz w:val="26"/>
                <w:szCs w:val="26"/>
                <w:rtl/>
              </w:rPr>
            </w:pPr>
            <w:r w:rsidRPr="002D2705">
              <w:rPr>
                <w:rFonts w:hint="cs"/>
                <w:b/>
                <w:bCs/>
                <w:sz w:val="26"/>
                <w:szCs w:val="26"/>
                <w:rtl/>
              </w:rPr>
              <w:t>ה</w:t>
            </w:r>
            <w:sdt>
              <w:sdtPr>
                <w:rPr>
                  <w:sz w:val="26"/>
                  <w:szCs w:val="26"/>
                  <w:rtl/>
                </w:rPr>
                <w:alias w:val="1180"/>
                <w:tag w:val="1180"/>
                <w:id w:val="637458750"/>
                <w:text w:multiLine="1"/>
              </w:sdtPr>
              <w:sdtEndPr/>
              <w:sdtContent>
                <w:r>
                  <w:rPr>
                    <w:rFonts w:ascii="Arial" w:hAnsi="Arial"/>
                    <w:b/>
                    <w:bCs/>
                    <w:noProof w:val="0"/>
                    <w:sz w:val="26"/>
                    <w:szCs w:val="26"/>
                    <w:rtl/>
                  </w:rPr>
                  <w:t>תובע</w:t>
                </w:r>
              </w:sdtContent>
            </w:sdt>
            <w:r>
              <w:rPr>
                <w:rFonts w:ascii="Arial" w:hAnsi="Arial" w:hint="cs"/>
                <w:b/>
                <w:bCs/>
                <w:noProof w:val="0"/>
                <w:sz w:val="26"/>
                <w:szCs w:val="26"/>
                <w:rtl/>
              </w:rPr>
              <w:t>:</w:t>
            </w:r>
          </w:p>
        </w:tc>
        <w:tc>
          <w:tcPr>
            <w:tcW w:w="5230" w:type="dxa"/>
            <w:gridSpan w:val="2"/>
          </w:tcPr>
          <w:p w:rsidR="00B02C76" w:rsidRPr="007F09CE" w:rsidRDefault="001A51F0" w:rsidP="007F09CE">
            <w:pPr>
              <w:suppressLineNumbers/>
            </w:pPr>
            <w:sdt>
              <w:sdtPr>
                <w:rPr>
                  <w:rFonts w:ascii="Arial" w:hAnsi="Arial"/>
                  <w:b/>
                  <w:bCs/>
                  <w:noProof w:val="0"/>
                  <w:sz w:val="26"/>
                  <w:szCs w:val="26"/>
                  <w:rtl/>
                </w:rPr>
                <w:alias w:val="3151"/>
                <w:tag w:val="3151"/>
                <w:id w:val="1166218717"/>
                <w:placeholder>
                  <w:docPart w:val="6E9B64DE82404F9B827427D9CBC581D6"/>
                </w:placeholder>
                <w:text w:multiLine="1"/>
              </w:sdtPr>
              <w:sdtEndPr/>
              <w:sdtContent>
                <w:r w:rsidR="0016615E">
                  <w:rPr>
                    <w:rFonts w:ascii="Arial" w:hAnsi="Arial"/>
                    <w:b/>
                    <w:bCs/>
                    <w:noProof w:val="0"/>
                    <w:sz w:val="26"/>
                    <w:szCs w:val="26"/>
                    <w:rtl/>
                  </w:rPr>
                  <w:t>אלכסנדר שוסטר</w:t>
                </w:r>
              </w:sdtContent>
            </w:sdt>
          </w:p>
        </w:tc>
      </w:tr>
      <w:tr w:rsidR="00B02C76" w:rsidRPr="00FA4EAF" w:rsidTr="007F09CE">
        <w:trPr>
          <w:trHeight w:val="601"/>
        </w:trPr>
        <w:tc>
          <w:tcPr>
            <w:tcW w:w="8307" w:type="dxa"/>
            <w:gridSpan w:val="3"/>
          </w:tcPr>
          <w:p w:rsidR="00B02C76" w:rsidRPr="00FA4EAF" w:rsidRDefault="00B02C76" w:rsidP="00B02C76">
            <w:pPr>
              <w:rPr>
                <w:rFonts w:ascii="Arial" w:hAnsi="Arial"/>
                <w:b/>
                <w:bCs/>
                <w:noProof w:val="0"/>
                <w:sz w:val="26"/>
                <w:szCs w:val="26"/>
                <w:rtl/>
              </w:rPr>
            </w:pPr>
          </w:p>
          <w:p w:rsidR="00B02C76" w:rsidRPr="00FA4EAF" w:rsidRDefault="00B02C76" w:rsidP="00B02C76">
            <w:pPr>
              <w:jc w:val="center"/>
              <w:rPr>
                <w:rFonts w:ascii="Arial" w:hAnsi="Arial"/>
                <w:b/>
                <w:bCs/>
                <w:noProof w:val="0"/>
                <w:sz w:val="26"/>
                <w:szCs w:val="26"/>
                <w:rtl/>
              </w:rPr>
            </w:pPr>
            <w:r w:rsidRPr="00FA4EAF">
              <w:rPr>
                <w:rFonts w:ascii="Arial" w:hAnsi="Arial"/>
                <w:b/>
                <w:bCs/>
                <w:noProof w:val="0"/>
                <w:sz w:val="26"/>
                <w:szCs w:val="26"/>
                <w:rtl/>
              </w:rPr>
              <w:t>נגד</w:t>
            </w:r>
          </w:p>
          <w:p w:rsidR="00B02C76" w:rsidRPr="00AA5158" w:rsidRDefault="00B02C76" w:rsidP="00B02C76">
            <w:pPr>
              <w:rPr>
                <w:rFonts w:ascii="Arial" w:hAnsi="Arial"/>
                <w:b/>
                <w:bCs/>
                <w:noProof w:val="0"/>
                <w:sz w:val="16"/>
                <w:szCs w:val="16"/>
              </w:rPr>
            </w:pPr>
          </w:p>
        </w:tc>
      </w:tr>
      <w:tr w:rsidR="00B02C76" w:rsidRPr="00FA4EAF" w:rsidTr="007F09CE">
        <w:tc>
          <w:tcPr>
            <w:tcW w:w="3077" w:type="dxa"/>
          </w:tcPr>
          <w:p w:rsidR="00B02C76" w:rsidRPr="00FA4EAF" w:rsidRDefault="00B02C76" w:rsidP="00DE1DD0">
            <w:pPr>
              <w:rPr>
                <w:rFonts w:ascii="Arial" w:hAnsi="Arial"/>
                <w:b/>
                <w:bCs/>
                <w:noProof w:val="0"/>
                <w:sz w:val="26"/>
                <w:szCs w:val="26"/>
              </w:rPr>
            </w:pPr>
            <w:r w:rsidRPr="002D2705">
              <w:rPr>
                <w:rFonts w:hint="cs"/>
                <w:b/>
                <w:bCs/>
                <w:sz w:val="26"/>
                <w:szCs w:val="26"/>
                <w:rtl/>
              </w:rPr>
              <w:t>ה</w:t>
            </w:r>
            <w:sdt>
              <w:sdtPr>
                <w:rPr>
                  <w:sz w:val="26"/>
                  <w:szCs w:val="26"/>
                  <w:rtl/>
                </w:rPr>
                <w:alias w:val="1184"/>
                <w:tag w:val="1184"/>
                <w:id w:val="-340621022"/>
                <w:text w:multiLine="1"/>
              </w:sdtPr>
              <w:sdtEndPr/>
              <w:sdtContent>
                <w:r>
                  <w:rPr>
                    <w:rFonts w:ascii="Arial" w:hAnsi="Arial"/>
                    <w:b/>
                    <w:bCs/>
                    <w:noProof w:val="0"/>
                    <w:sz w:val="26"/>
                    <w:szCs w:val="26"/>
                    <w:rtl/>
                  </w:rPr>
                  <w:t>נתבע</w:t>
                </w:r>
                <w:r w:rsidR="00DE1DD0">
                  <w:rPr>
                    <w:rFonts w:ascii="Arial" w:hAnsi="Arial" w:hint="cs"/>
                    <w:b/>
                    <w:bCs/>
                    <w:noProof w:val="0"/>
                    <w:sz w:val="26"/>
                    <w:szCs w:val="26"/>
                    <w:rtl/>
                  </w:rPr>
                  <w:t>ת</w:t>
                </w:r>
              </w:sdtContent>
            </w:sdt>
            <w:r>
              <w:rPr>
                <w:rFonts w:ascii="Arial" w:hAnsi="Arial" w:hint="cs"/>
                <w:b/>
                <w:bCs/>
                <w:noProof w:val="0"/>
                <w:sz w:val="26"/>
                <w:szCs w:val="26"/>
                <w:rtl/>
              </w:rPr>
              <w:t>:</w:t>
            </w:r>
          </w:p>
        </w:tc>
        <w:tc>
          <w:tcPr>
            <w:tcW w:w="5230" w:type="dxa"/>
            <w:gridSpan w:val="2"/>
          </w:tcPr>
          <w:p w:rsidR="007F09CE" w:rsidRDefault="001A51F0" w:rsidP="007F09CE">
            <w:pPr>
              <w:suppressLineNumbers/>
            </w:pPr>
            <w:sdt>
              <w:sdtPr>
                <w:rPr>
                  <w:rFonts w:ascii="Arial" w:hAnsi="Arial"/>
                  <w:b/>
                  <w:bCs/>
                  <w:noProof w:val="0"/>
                  <w:sz w:val="26"/>
                  <w:szCs w:val="26"/>
                  <w:rtl/>
                </w:rPr>
                <w:alias w:val="3152"/>
                <w:tag w:val="3152"/>
                <w:id w:val="-1346628691"/>
                <w:placeholder>
                  <w:docPart w:val="4975FDB7C9824906A8EDDDC584D8F333"/>
                </w:placeholder>
                <w:text w:multiLine="1"/>
              </w:sdtPr>
              <w:sdtEndPr/>
              <w:sdtContent>
                <w:r w:rsidR="0016615E">
                  <w:rPr>
                    <w:rFonts w:ascii="Arial" w:hAnsi="Arial"/>
                    <w:b/>
                    <w:bCs/>
                    <w:noProof w:val="0"/>
                    <w:sz w:val="26"/>
                    <w:szCs w:val="26"/>
                    <w:rtl/>
                  </w:rPr>
                  <w:t>חי אל סוכנות לביטוח בע"מ</w:t>
                </w:r>
              </w:sdtContent>
            </w:sdt>
          </w:p>
          <w:p w:rsidR="00B02C76" w:rsidRPr="007F09CE" w:rsidRDefault="00B02C76" w:rsidP="007F09CE">
            <w:pPr>
              <w:rPr>
                <w:sz w:val="26"/>
                <w:szCs w:val="26"/>
                <w:rtl/>
              </w:rPr>
            </w:pPr>
          </w:p>
        </w:tc>
      </w:tr>
      <w:tr w:rsidR="00B02C76" w:rsidRPr="00FA4EAF" w:rsidTr="007F09CE">
        <w:tc>
          <w:tcPr>
            <w:tcW w:w="8307" w:type="dxa"/>
            <w:gridSpan w:val="3"/>
          </w:tcPr>
          <w:p w:rsidR="007F09CE" w:rsidRDefault="007F09CE" w:rsidP="007F09CE">
            <w:pPr>
              <w:rPr>
                <w:rFonts w:cs="Times New Roman"/>
                <w:rtl/>
              </w:rPr>
            </w:pPr>
            <w:r>
              <w:rPr>
                <w:rFonts w:cs="Times New Roman"/>
                <w:rtl/>
              </w:rPr>
              <w:t xml:space="preserve"> </w:t>
            </w:r>
          </w:p>
          <w:p w:rsidR="00DE1DD0" w:rsidRDefault="00DE1DD0" w:rsidP="007F09CE">
            <w:pPr>
              <w:rPr>
                <w:rFonts w:cs="Times New Roman"/>
              </w:rPr>
            </w:pPr>
          </w:p>
          <w:p w:rsidR="00D42388" w:rsidRDefault="00D42388">
            <w:pPr>
              <w:suppressLineNumbers/>
            </w:pPr>
          </w:p>
          <w:p w:rsidR="00B02C76" w:rsidRPr="007F09CE" w:rsidRDefault="00B02C76" w:rsidP="00B02C76">
            <w:pPr>
              <w:rPr>
                <w:rFonts w:ascii="Arial" w:hAnsi="Arial"/>
                <w:b/>
                <w:bCs/>
                <w:noProof w:val="0"/>
                <w:sz w:val="26"/>
                <w:szCs w:val="26"/>
                <w:rtl/>
              </w:rPr>
            </w:pPr>
          </w:p>
        </w:tc>
      </w:tr>
    </w:tbl>
    <w:p w:rsidR="00E31C2B" w:rsidRPr="00DE1DD0" w:rsidRDefault="00DE1DD0" w:rsidP="004D1998">
      <w:pPr>
        <w:rPr>
          <w:rtl/>
        </w:rPr>
      </w:pPr>
      <w:r w:rsidRPr="00DE1DD0">
        <w:rPr>
          <w:rFonts w:hint="cs"/>
          <w:rtl/>
        </w:rPr>
        <w:t>ב"כ התובע:</w:t>
      </w:r>
      <w:r w:rsidRPr="00DE1DD0">
        <w:rPr>
          <w:rtl/>
        </w:rPr>
        <w:tab/>
      </w:r>
      <w:r w:rsidRPr="00DE1DD0">
        <w:rPr>
          <w:rFonts w:hint="cs"/>
          <w:rtl/>
        </w:rPr>
        <w:t>עו"ד כפיר דיין-דובב</w:t>
      </w:r>
    </w:p>
    <w:p w:rsidR="00DE1DD0" w:rsidRDefault="00DE1DD0" w:rsidP="004D1998">
      <w:pPr>
        <w:rPr>
          <w:rtl/>
        </w:rPr>
      </w:pPr>
      <w:r w:rsidRPr="00DE1DD0">
        <w:rPr>
          <w:rFonts w:hint="cs"/>
          <w:rtl/>
        </w:rPr>
        <w:t>ב"כ הנתבע:</w:t>
      </w:r>
      <w:r w:rsidRPr="00DE1DD0">
        <w:rPr>
          <w:rtl/>
        </w:rPr>
        <w:tab/>
      </w:r>
      <w:r w:rsidRPr="00DE1DD0">
        <w:rPr>
          <w:rFonts w:hint="cs"/>
          <w:rtl/>
        </w:rPr>
        <w:t>עו"ד רונן יצחק גרין</w:t>
      </w:r>
    </w:p>
    <w:p w:rsidR="00DE1DD0" w:rsidRPr="00DE1DD0" w:rsidRDefault="00DE1DD0" w:rsidP="004D1998"/>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DD0">
        <w:trPr>
          <w:jc w:val="center"/>
        </w:trPr>
        <w:tc>
          <w:tcPr>
            <w:tcW w:w="8820" w:type="dxa"/>
          </w:tcPr>
          <w:p w:rsidR="00694556" w:rsidRPr="00DE1DD0" w:rsidRDefault="0016615E">
            <w:pPr>
              <w:bidi w:val="0"/>
              <w:jc w:val="center"/>
              <w:rPr>
                <w:rFonts w:ascii="Arial" w:hAnsi="Arial"/>
                <w:b/>
                <w:bCs/>
                <w:noProof w:val="0"/>
                <w:sz w:val="46"/>
                <w:szCs w:val="46"/>
                <w:u w:val="single"/>
              </w:rPr>
            </w:pPr>
            <w:r w:rsidRPr="00DE1DD0">
              <w:rPr>
                <w:rFonts w:ascii="Arial" w:hAnsi="Arial" w:hint="cs"/>
                <w:b/>
                <w:bCs/>
                <w:noProof w:val="0"/>
                <w:sz w:val="46"/>
                <w:szCs w:val="46"/>
                <w:u w:val="single"/>
                <w:rtl/>
              </w:rPr>
              <w:t>פסק דין</w:t>
            </w:r>
          </w:p>
        </w:tc>
      </w:tr>
    </w:tbl>
    <w:p w:rsidR="00694556" w:rsidRPr="00DE1DD0" w:rsidRDefault="00694556">
      <w:pPr>
        <w:spacing w:line="360" w:lineRule="auto"/>
        <w:jc w:val="both"/>
        <w:rPr>
          <w:rFonts w:ascii="Arial" w:hAnsi="Arial"/>
          <w:noProof w:val="0"/>
          <w:sz w:val="34"/>
          <w:szCs w:val="34"/>
          <w:rtl/>
        </w:rPr>
      </w:pPr>
    </w:p>
    <w:p w:rsidR="00DE1DD0" w:rsidRDefault="00DE1DD0" w:rsidP="00DE1DD0">
      <w:pPr>
        <w:pStyle w:val="ad"/>
        <w:spacing w:line="360" w:lineRule="auto"/>
        <w:ind w:left="-568"/>
        <w:jc w:val="both"/>
        <w:rPr>
          <w:rFonts w:ascii="David" w:hAnsi="David" w:cs="David"/>
          <w:b/>
          <w:bCs/>
          <w:sz w:val="28"/>
          <w:szCs w:val="28"/>
          <w:u w:val="single"/>
        </w:rPr>
      </w:pPr>
      <w:bookmarkStart w:id="1" w:name="NGCSBookmark"/>
      <w:bookmarkEnd w:id="1"/>
      <w:r>
        <w:rPr>
          <w:rFonts w:ascii="David" w:hAnsi="David" w:cs="David"/>
          <w:b/>
          <w:bCs/>
          <w:sz w:val="28"/>
          <w:szCs w:val="28"/>
          <w:u w:val="single"/>
          <w:rtl/>
        </w:rPr>
        <w:t xml:space="preserve">חלק ראשון – פתח דבר </w:t>
      </w:r>
    </w:p>
    <w:p w:rsidR="00DE1DD0" w:rsidRDefault="00DE1DD0" w:rsidP="00DE1DD0">
      <w:pPr>
        <w:pStyle w:val="ad"/>
        <w:spacing w:line="360" w:lineRule="auto"/>
        <w:ind w:left="-172"/>
        <w:jc w:val="both"/>
        <w:rPr>
          <w:rFonts w:ascii="David" w:hAnsi="David" w:cs="David"/>
          <w:sz w:val="24"/>
          <w:szCs w:val="24"/>
          <w:rtl/>
        </w:rPr>
      </w:pPr>
    </w:p>
    <w:p w:rsidR="00DE1DD0" w:rsidRDefault="00DE1DD0" w:rsidP="00DE1DD0">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עניינו של פסק הדין</w:t>
      </w:r>
    </w:p>
    <w:p w:rsidR="00DE1DD0" w:rsidRDefault="00DE1DD0" w:rsidP="00DE1DD0">
      <w:pPr>
        <w:pStyle w:val="ad"/>
        <w:numPr>
          <w:ilvl w:val="1"/>
          <w:numId w:val="1"/>
        </w:numPr>
        <w:spacing w:line="360" w:lineRule="auto"/>
        <w:ind w:left="425" w:hanging="567"/>
        <w:jc w:val="both"/>
        <w:rPr>
          <w:rFonts w:ascii="David" w:hAnsi="David" w:cs="David"/>
          <w:sz w:val="24"/>
          <w:szCs w:val="24"/>
        </w:rPr>
      </w:pPr>
      <w:r>
        <w:rPr>
          <w:rFonts w:ascii="David" w:hAnsi="David" w:cs="David"/>
          <w:sz w:val="24"/>
          <w:szCs w:val="24"/>
          <w:rtl/>
        </w:rPr>
        <w:t xml:space="preserve">עניינו של פסק הדין הוא תביעה על סך של </w:t>
      </w:r>
      <w:r>
        <w:rPr>
          <w:rFonts w:ascii="David" w:hAnsi="David" w:cs="David"/>
          <w:b/>
          <w:bCs/>
          <w:sz w:val="24"/>
          <w:szCs w:val="24"/>
          <w:u w:val="single"/>
          <w:rtl/>
        </w:rPr>
        <w:t>123,573 ₪</w:t>
      </w:r>
      <w:r>
        <w:rPr>
          <w:rFonts w:ascii="David" w:hAnsi="David" w:cs="David"/>
          <w:sz w:val="24"/>
          <w:szCs w:val="24"/>
          <w:rtl/>
        </w:rPr>
        <w:t xml:space="preserve"> שהוגשה בטענה לרשלנות מקצועית של סוכן ביטוח פנסיוני. במסגרת סיכומי הטענות תיקן התובע את סכום התביעה והפחית במעט לסך של </w:t>
      </w:r>
      <w:r>
        <w:rPr>
          <w:rFonts w:ascii="David" w:hAnsi="David" w:cs="David"/>
          <w:b/>
          <w:bCs/>
          <w:sz w:val="24"/>
          <w:szCs w:val="24"/>
          <w:u w:val="single"/>
          <w:rtl/>
        </w:rPr>
        <w:t>121,788 ₪</w:t>
      </w:r>
      <w:r>
        <w:rPr>
          <w:rFonts w:ascii="David" w:hAnsi="David" w:cs="David"/>
          <w:sz w:val="24"/>
          <w:szCs w:val="24"/>
          <w:rtl/>
        </w:rPr>
        <w:t xml:space="preserve"> בלבד.</w:t>
      </w:r>
    </w:p>
    <w:p w:rsidR="00DE1DD0" w:rsidRDefault="00DE1DD0" w:rsidP="00DE1DD0">
      <w:pPr>
        <w:pStyle w:val="ad"/>
        <w:spacing w:line="360" w:lineRule="auto"/>
        <w:ind w:left="425"/>
        <w:jc w:val="both"/>
        <w:rPr>
          <w:rFonts w:ascii="David" w:hAnsi="David" w:cs="David"/>
          <w:sz w:val="24"/>
          <w:szCs w:val="24"/>
        </w:rPr>
      </w:pPr>
      <w:r>
        <w:rPr>
          <w:rFonts w:ascii="David" w:hAnsi="David" w:cs="David"/>
          <w:sz w:val="24"/>
          <w:szCs w:val="24"/>
          <w:rtl/>
        </w:rPr>
        <w:t xml:space="preserve"> </w:t>
      </w:r>
    </w:p>
    <w:p w:rsidR="00DE1DD0" w:rsidRDefault="00DE1DD0" w:rsidP="00DE1DD0">
      <w:pPr>
        <w:pStyle w:val="ad"/>
        <w:numPr>
          <w:ilvl w:val="1"/>
          <w:numId w:val="1"/>
        </w:numPr>
        <w:spacing w:line="360" w:lineRule="auto"/>
        <w:ind w:left="425" w:hanging="567"/>
        <w:jc w:val="both"/>
        <w:rPr>
          <w:rFonts w:ascii="David" w:hAnsi="David" w:cs="David"/>
          <w:sz w:val="24"/>
          <w:szCs w:val="24"/>
        </w:rPr>
      </w:pPr>
      <w:r>
        <w:rPr>
          <w:rFonts w:ascii="David" w:hAnsi="David" w:cs="David"/>
          <w:sz w:val="24"/>
          <w:szCs w:val="24"/>
          <w:rtl/>
        </w:rPr>
        <w:t xml:space="preserve">התובע הועסק החל משנת 1999 בחברת סולמות חגית (1990) בע"מ (להלן: </w:t>
      </w:r>
      <w:r>
        <w:rPr>
          <w:rFonts w:ascii="David" w:hAnsi="David" w:cs="David"/>
          <w:b/>
          <w:bCs/>
          <w:sz w:val="24"/>
          <w:szCs w:val="24"/>
          <w:rtl/>
        </w:rPr>
        <w:t>"המעסיק"</w:t>
      </w:r>
      <w:r>
        <w:rPr>
          <w:rFonts w:ascii="David" w:hAnsi="David" w:cs="David"/>
          <w:sz w:val="24"/>
          <w:szCs w:val="24"/>
          <w:rtl/>
        </w:rPr>
        <w:t>). החל מיום 1/7/2003 היה התובע מבוטח בפוליסת ביטוח במסגרת מנורה מבטחים ביטוח בע"מ.</w:t>
      </w:r>
    </w:p>
    <w:p w:rsidR="00DE1DD0" w:rsidRDefault="00DE1DD0" w:rsidP="00DE1DD0">
      <w:pPr>
        <w:pStyle w:val="ad"/>
        <w:rPr>
          <w:rFonts w:ascii="David" w:hAnsi="David" w:cs="David"/>
          <w:sz w:val="24"/>
          <w:szCs w:val="24"/>
        </w:rPr>
      </w:pPr>
    </w:p>
    <w:p w:rsidR="00DE1DD0" w:rsidRDefault="00DE1DD0" w:rsidP="00DE1DD0">
      <w:pPr>
        <w:pStyle w:val="ad"/>
        <w:numPr>
          <w:ilvl w:val="1"/>
          <w:numId w:val="1"/>
        </w:numPr>
        <w:spacing w:line="360" w:lineRule="auto"/>
        <w:ind w:left="425" w:hanging="567"/>
        <w:jc w:val="both"/>
        <w:rPr>
          <w:rFonts w:ascii="David" w:hAnsi="David" w:cs="David"/>
          <w:sz w:val="24"/>
          <w:szCs w:val="24"/>
          <w:rtl/>
        </w:rPr>
      </w:pPr>
      <w:r>
        <w:rPr>
          <w:rFonts w:ascii="David" w:hAnsi="David" w:cs="David"/>
          <w:sz w:val="24"/>
          <w:szCs w:val="24"/>
          <w:rtl/>
        </w:rPr>
        <w:t xml:space="preserve">ביום 15/7/2015 "הועבר" התובע, כך ממש, לקרן הפנסיה "מנורה מבטחים החדשה". זאת במקום הכיסוי הביטוחי במסגרת פוליסת המנהלים משנת 2003. התובע לא חתם על הסכמה ל"העברתו" לקרן הפנסיה, זאת ועוד הסכמתו של התובע כלל </w:t>
      </w:r>
      <w:r>
        <w:rPr>
          <w:rFonts w:ascii="David" w:hAnsi="David" w:cs="David"/>
          <w:sz w:val="24"/>
          <w:szCs w:val="24"/>
          <w:u w:val="single"/>
          <w:rtl/>
        </w:rPr>
        <w:t>לא</w:t>
      </w:r>
      <w:r>
        <w:rPr>
          <w:rFonts w:ascii="David" w:hAnsi="David" w:cs="David"/>
          <w:sz w:val="24"/>
          <w:szCs w:val="24"/>
          <w:rtl/>
        </w:rPr>
        <w:t xml:space="preserve"> התבקשה. הנתבע גרם ל"העברתו" מכח הוראת המעסיק, שהוגדר כ"בעל הפוליסה".</w:t>
      </w:r>
    </w:p>
    <w:p w:rsidR="00DE1DD0" w:rsidRDefault="00DE1DD0" w:rsidP="00DE1DD0">
      <w:pPr>
        <w:pStyle w:val="ad"/>
        <w:rPr>
          <w:rFonts w:ascii="David" w:hAnsi="David" w:cs="David"/>
          <w:sz w:val="24"/>
          <w:szCs w:val="24"/>
        </w:rPr>
      </w:pPr>
    </w:p>
    <w:p w:rsidR="00DE1DD0" w:rsidRDefault="00DE1DD0" w:rsidP="00DE1DD0">
      <w:pPr>
        <w:pStyle w:val="ad"/>
        <w:numPr>
          <w:ilvl w:val="1"/>
          <w:numId w:val="1"/>
        </w:numPr>
        <w:spacing w:line="360" w:lineRule="auto"/>
        <w:ind w:left="425" w:hanging="567"/>
        <w:jc w:val="both"/>
        <w:rPr>
          <w:rFonts w:ascii="David" w:hAnsi="David" w:cs="David"/>
          <w:sz w:val="24"/>
          <w:szCs w:val="24"/>
          <w:rtl/>
        </w:rPr>
      </w:pPr>
      <w:r>
        <w:rPr>
          <w:rFonts w:ascii="David" w:hAnsi="David" w:cs="David"/>
          <w:sz w:val="24"/>
          <w:szCs w:val="24"/>
          <w:rtl/>
        </w:rPr>
        <w:t>התובע חלה וביום 16/12/2018 פוטר בשל מצבו הרפואי. כאשר ביקש התובע ליהנות מביטוח אבדן כושר העבודה, התחוור לו שעם "העברתו" מביטוח המנהלים, נרכש לו כיסוי ביטוחי חדש בקרן הפנסיה. הכיסוי הביטוחי החדש דרש תקופת אכשרה של חמש שנים בכל הקשור למחלות ובעיות רפואיות שהיו טרם הקמת הביטוח.</w:t>
      </w:r>
    </w:p>
    <w:p w:rsidR="00DE1DD0" w:rsidRDefault="00DE1DD0" w:rsidP="00DE1DD0">
      <w:pPr>
        <w:pStyle w:val="ad"/>
        <w:rPr>
          <w:rFonts w:ascii="David" w:hAnsi="David" w:cs="David"/>
          <w:sz w:val="24"/>
          <w:szCs w:val="24"/>
        </w:rPr>
      </w:pPr>
    </w:p>
    <w:p w:rsidR="00DE1DD0" w:rsidRDefault="00DE1DD0" w:rsidP="00DE1DD0">
      <w:pPr>
        <w:pStyle w:val="ad"/>
        <w:numPr>
          <w:ilvl w:val="1"/>
          <w:numId w:val="1"/>
        </w:numPr>
        <w:spacing w:line="360" w:lineRule="auto"/>
        <w:ind w:left="425" w:hanging="567"/>
        <w:jc w:val="both"/>
        <w:rPr>
          <w:rFonts w:ascii="David" w:hAnsi="David" w:cs="David"/>
          <w:sz w:val="24"/>
          <w:szCs w:val="24"/>
          <w:rtl/>
        </w:rPr>
      </w:pPr>
      <w:r>
        <w:rPr>
          <w:rFonts w:ascii="David" w:hAnsi="David" w:cs="David"/>
          <w:sz w:val="24"/>
          <w:szCs w:val="24"/>
          <w:rtl/>
        </w:rPr>
        <w:t xml:space="preserve">מכאן התביעה, בה עותר התובע לפיצוי בסך של 123,573 ₪, כאשר בסיכומיו תוקן כאמור סכום התביעה לסך של </w:t>
      </w:r>
      <w:r>
        <w:rPr>
          <w:rFonts w:ascii="David" w:hAnsi="David" w:cs="David"/>
          <w:b/>
          <w:bCs/>
          <w:sz w:val="24"/>
          <w:szCs w:val="24"/>
          <w:u w:val="single"/>
          <w:rtl/>
        </w:rPr>
        <w:t>121,788 ₪</w:t>
      </w:r>
      <w:r>
        <w:rPr>
          <w:rFonts w:ascii="David" w:hAnsi="David" w:cs="David"/>
          <w:sz w:val="24"/>
          <w:szCs w:val="24"/>
          <w:rtl/>
        </w:rPr>
        <w:t>. פירוט הסעדים, כפי שמופיע בסיכומי התובע הוא כדלקמן:</w:t>
      </w:r>
    </w:p>
    <w:p w:rsidR="00DE1DD0" w:rsidRDefault="00DE1DD0" w:rsidP="00DE1DD0">
      <w:pPr>
        <w:pStyle w:val="ad"/>
        <w:rPr>
          <w:rFonts w:ascii="David" w:hAnsi="David" w:cs="David"/>
          <w:sz w:val="24"/>
          <w:szCs w:val="24"/>
        </w:rPr>
      </w:pPr>
    </w:p>
    <w:p w:rsidR="00DE1DD0" w:rsidRDefault="00DE1DD0" w:rsidP="00DE1DD0">
      <w:pPr>
        <w:pStyle w:val="ad"/>
        <w:numPr>
          <w:ilvl w:val="0"/>
          <w:numId w:val="2"/>
        </w:numPr>
        <w:spacing w:line="360" w:lineRule="auto"/>
        <w:jc w:val="both"/>
        <w:rPr>
          <w:rFonts w:ascii="David" w:hAnsi="David" w:cs="David"/>
          <w:sz w:val="24"/>
          <w:szCs w:val="24"/>
          <w:rtl/>
        </w:rPr>
      </w:pPr>
      <w:r>
        <w:rPr>
          <w:rFonts w:ascii="David" w:hAnsi="David" w:cs="David"/>
          <w:sz w:val="24"/>
          <w:szCs w:val="24"/>
          <w:rtl/>
        </w:rPr>
        <w:lastRenderedPageBreak/>
        <w:t xml:space="preserve">תשלום תגמול חודשי (68% מתוך שכר ממוצע של 5,4 87 ₪) - </w:t>
      </w:r>
      <w:r>
        <w:rPr>
          <w:rFonts w:ascii="David" w:hAnsi="David" w:cs="David"/>
          <w:sz w:val="24"/>
          <w:szCs w:val="24"/>
          <w:rtl/>
        </w:rPr>
        <w:tab/>
        <w:t>3,731 ₪</w:t>
      </w:r>
    </w:p>
    <w:p w:rsidR="00DE1DD0" w:rsidRDefault="00DE1DD0" w:rsidP="00DE1DD0">
      <w:pPr>
        <w:pStyle w:val="ad"/>
        <w:numPr>
          <w:ilvl w:val="0"/>
          <w:numId w:val="2"/>
        </w:numPr>
        <w:spacing w:line="360" w:lineRule="auto"/>
        <w:jc w:val="both"/>
        <w:rPr>
          <w:rFonts w:ascii="David" w:hAnsi="David" w:cs="David"/>
          <w:sz w:val="24"/>
          <w:szCs w:val="24"/>
        </w:rPr>
      </w:pPr>
      <w:r>
        <w:rPr>
          <w:rFonts w:ascii="David" w:hAnsi="David" w:cs="David"/>
          <w:sz w:val="24"/>
          <w:szCs w:val="24"/>
          <w:rtl/>
        </w:rPr>
        <w:t>פיצוי בגין עלות שחרור מתשלום פרמיה (19.05% מתוך</w:t>
      </w:r>
    </w:p>
    <w:p w:rsidR="00DE1DD0" w:rsidRDefault="00DE1DD0" w:rsidP="00DE1DD0">
      <w:pPr>
        <w:pStyle w:val="ad"/>
        <w:spacing w:line="360" w:lineRule="auto"/>
        <w:ind w:left="785"/>
        <w:jc w:val="both"/>
        <w:rPr>
          <w:rFonts w:ascii="David" w:hAnsi="David" w:cs="David"/>
          <w:sz w:val="24"/>
          <w:szCs w:val="24"/>
        </w:rPr>
      </w:pPr>
      <w:r>
        <w:rPr>
          <w:rFonts w:ascii="David" w:hAnsi="David" w:cs="David"/>
          <w:sz w:val="24"/>
          <w:szCs w:val="24"/>
          <w:rtl/>
        </w:rPr>
        <w:t xml:space="preserve">שכר ממוצע של 5,487 ₪) - </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1,045 ₪</w:t>
      </w:r>
    </w:p>
    <w:p w:rsidR="00DE1DD0" w:rsidRDefault="00DE1DD0" w:rsidP="00DE1DD0">
      <w:pPr>
        <w:pStyle w:val="ad"/>
        <w:spacing w:line="360" w:lineRule="auto"/>
        <w:ind w:left="785"/>
        <w:jc w:val="both"/>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w:t>
      </w:r>
    </w:p>
    <w:p w:rsidR="00DE1DD0" w:rsidRDefault="00DE1DD0" w:rsidP="00DE1DD0">
      <w:pPr>
        <w:pStyle w:val="ad"/>
        <w:spacing w:line="360" w:lineRule="auto"/>
        <w:ind w:left="785"/>
        <w:jc w:val="both"/>
        <w:rPr>
          <w:rFonts w:ascii="David" w:hAnsi="David" w:cs="David"/>
          <w:sz w:val="24"/>
          <w:szCs w:val="24"/>
          <w:rtl/>
        </w:rPr>
      </w:pPr>
      <w:r>
        <w:rPr>
          <w:rFonts w:ascii="David" w:hAnsi="David" w:cs="David"/>
          <w:sz w:val="24"/>
          <w:szCs w:val="24"/>
          <w:rtl/>
        </w:rPr>
        <w:t xml:space="preserve">סה"כ לחודש - </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4,776 ₪</w:t>
      </w:r>
    </w:p>
    <w:p w:rsidR="00DE1DD0" w:rsidRDefault="00DE1DD0" w:rsidP="00DE1DD0">
      <w:pPr>
        <w:pStyle w:val="ad"/>
        <w:spacing w:line="360" w:lineRule="auto"/>
        <w:ind w:left="785"/>
        <w:jc w:val="both"/>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w:t>
      </w:r>
    </w:p>
    <w:p w:rsidR="00DE1DD0" w:rsidRDefault="00DE1DD0" w:rsidP="00DE1DD0">
      <w:pPr>
        <w:pStyle w:val="ad"/>
        <w:spacing w:line="360" w:lineRule="auto"/>
        <w:ind w:left="785"/>
        <w:jc w:val="both"/>
        <w:rPr>
          <w:rFonts w:ascii="David" w:hAnsi="David" w:cs="David"/>
          <w:b/>
          <w:bCs/>
          <w:sz w:val="24"/>
          <w:szCs w:val="24"/>
          <w:rtl/>
        </w:rPr>
      </w:pPr>
      <w:r>
        <w:rPr>
          <w:rFonts w:ascii="David" w:hAnsi="David" w:cs="David"/>
          <w:b/>
          <w:bCs/>
          <w:sz w:val="24"/>
          <w:szCs w:val="24"/>
          <w:rtl/>
        </w:rPr>
        <w:t>תחשיב החל מיום 16/12/2018 (לאחר שישה חודשי המתנה)</w:t>
      </w:r>
    </w:p>
    <w:p w:rsidR="00DE1DD0" w:rsidRDefault="00DE1DD0" w:rsidP="00DE1DD0">
      <w:pPr>
        <w:pStyle w:val="ad"/>
        <w:spacing w:line="360" w:lineRule="auto"/>
        <w:ind w:left="785"/>
        <w:jc w:val="both"/>
        <w:rPr>
          <w:rFonts w:ascii="David" w:hAnsi="David" w:cs="David"/>
          <w:b/>
          <w:bCs/>
          <w:sz w:val="24"/>
          <w:szCs w:val="24"/>
          <w:rtl/>
        </w:rPr>
      </w:pPr>
      <w:r>
        <w:rPr>
          <w:rFonts w:ascii="David" w:hAnsi="David" w:cs="David"/>
          <w:b/>
          <w:bCs/>
          <w:sz w:val="24"/>
          <w:szCs w:val="24"/>
          <w:rtl/>
        </w:rPr>
        <w:t xml:space="preserve">ועד ליום 30/7/2021, סה"כ 25.5 חודשים </w:t>
      </w:r>
      <w:r>
        <w:rPr>
          <w:rFonts w:ascii="David" w:hAnsi="David" w:cs="David"/>
          <w:b/>
          <w:bCs/>
          <w:sz w:val="18"/>
          <w:szCs w:val="18"/>
        </w:rPr>
        <w:t>X</w:t>
      </w:r>
      <w:r>
        <w:rPr>
          <w:rFonts w:ascii="David" w:hAnsi="David" w:cs="David"/>
          <w:b/>
          <w:bCs/>
          <w:sz w:val="18"/>
          <w:szCs w:val="18"/>
          <w:rtl/>
        </w:rPr>
        <w:t xml:space="preserve"> </w:t>
      </w:r>
      <w:r>
        <w:rPr>
          <w:rFonts w:ascii="David" w:hAnsi="David" w:cs="David"/>
          <w:b/>
          <w:bCs/>
          <w:sz w:val="24"/>
          <w:szCs w:val="24"/>
          <w:rtl/>
        </w:rPr>
        <w:t xml:space="preserve">4,776 ₪ - </w:t>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u w:val="single"/>
          <w:rtl/>
        </w:rPr>
        <w:t>121,788 ש"ח</w:t>
      </w:r>
    </w:p>
    <w:p w:rsidR="00DE1DD0" w:rsidRDefault="00DE1DD0" w:rsidP="00DE1DD0">
      <w:pPr>
        <w:jc w:val="both"/>
        <w:rPr>
          <w:rFonts w:ascii="David" w:hAnsi="David"/>
        </w:rPr>
      </w:pPr>
    </w:p>
    <w:p w:rsidR="00DE1DD0" w:rsidRDefault="00DE1DD0" w:rsidP="00DE1DD0">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העדים שנשמעו בהליך וכן תמצית טענות הצדדים</w:t>
      </w:r>
    </w:p>
    <w:p w:rsidR="00DE1DD0" w:rsidRDefault="00DE1DD0" w:rsidP="00DE1DD0">
      <w:pPr>
        <w:pStyle w:val="ad"/>
        <w:spacing w:line="360" w:lineRule="auto"/>
        <w:ind w:left="283"/>
        <w:jc w:val="both"/>
        <w:rPr>
          <w:rFonts w:ascii="David" w:hAnsi="David" w:cs="David"/>
          <w:sz w:val="24"/>
          <w:szCs w:val="24"/>
        </w:rPr>
      </w:pPr>
    </w:p>
    <w:p w:rsidR="00DE1DD0" w:rsidRDefault="00DE1DD0" w:rsidP="00DE1DD0">
      <w:pPr>
        <w:pStyle w:val="ad"/>
        <w:numPr>
          <w:ilvl w:val="1"/>
          <w:numId w:val="1"/>
        </w:numPr>
        <w:spacing w:line="360" w:lineRule="auto"/>
        <w:ind w:left="283" w:hanging="425"/>
        <w:jc w:val="both"/>
        <w:rPr>
          <w:rFonts w:ascii="David" w:hAnsi="David" w:cs="David"/>
          <w:sz w:val="24"/>
          <w:szCs w:val="24"/>
        </w:rPr>
      </w:pPr>
      <w:r>
        <w:rPr>
          <w:rFonts w:ascii="David" w:hAnsi="David" w:cs="David"/>
          <w:b/>
          <w:bCs/>
          <w:sz w:val="24"/>
          <w:szCs w:val="24"/>
          <w:u w:val="single"/>
          <w:rtl/>
        </w:rPr>
        <w:t>העדים שנשמעו</w:t>
      </w:r>
    </w:p>
    <w:p w:rsidR="00DE1DD0" w:rsidRDefault="00DE1DD0" w:rsidP="00DE1DD0">
      <w:pPr>
        <w:pStyle w:val="ad"/>
        <w:spacing w:line="360" w:lineRule="auto"/>
        <w:ind w:left="283"/>
        <w:jc w:val="both"/>
        <w:rPr>
          <w:rFonts w:ascii="David" w:hAnsi="David" w:cs="David"/>
          <w:sz w:val="24"/>
          <w:szCs w:val="24"/>
        </w:rPr>
      </w:pPr>
      <w:r>
        <w:rPr>
          <w:rFonts w:ascii="David" w:hAnsi="David" w:cs="David"/>
          <w:sz w:val="24"/>
          <w:szCs w:val="24"/>
          <w:rtl/>
        </w:rPr>
        <w:t>במסגרת ההליך מונה מומחה בית משפט וכן נשמעו שלושה עדים, כמפורט להלן:</w:t>
      </w:r>
    </w:p>
    <w:p w:rsidR="00DE1DD0" w:rsidRDefault="00DE1DD0" w:rsidP="00DE1DD0">
      <w:pPr>
        <w:pStyle w:val="ad"/>
        <w:spacing w:line="360" w:lineRule="auto"/>
        <w:ind w:left="283"/>
        <w:jc w:val="both"/>
        <w:rPr>
          <w:rFonts w:ascii="David" w:hAnsi="David" w:cs="David"/>
          <w:sz w:val="24"/>
          <w:szCs w:val="24"/>
          <w:rtl/>
        </w:rPr>
      </w:pPr>
    </w:p>
    <w:p w:rsidR="00DE1DD0" w:rsidRDefault="00DE1DD0" w:rsidP="00DE1DD0">
      <w:pPr>
        <w:pStyle w:val="ad"/>
        <w:numPr>
          <w:ilvl w:val="0"/>
          <w:numId w:val="3"/>
        </w:numPr>
        <w:spacing w:line="360" w:lineRule="auto"/>
        <w:jc w:val="both"/>
        <w:rPr>
          <w:rFonts w:ascii="David" w:hAnsi="David" w:cs="David"/>
          <w:sz w:val="24"/>
          <w:szCs w:val="24"/>
          <w:rtl/>
        </w:rPr>
      </w:pPr>
      <w:r>
        <w:rPr>
          <w:rFonts w:ascii="David" w:hAnsi="David" w:cs="David"/>
          <w:sz w:val="24"/>
          <w:szCs w:val="24"/>
          <w:u w:val="single"/>
          <w:rtl/>
        </w:rPr>
        <w:t>מומחה בית המשפט ד"ר אלכס גודקין</w:t>
      </w:r>
      <w:r>
        <w:rPr>
          <w:rFonts w:ascii="David" w:hAnsi="David" w:cs="David"/>
          <w:sz w:val="24"/>
          <w:szCs w:val="24"/>
          <w:rtl/>
        </w:rPr>
        <w:t xml:space="preserve"> - מומחה ברפואה תעסוקתית אשר מונה כמומחה בית המשפט. ד"ר גודקין חיווה דעתו לפיה </w:t>
      </w:r>
      <w:r>
        <w:rPr>
          <w:rFonts w:ascii="David" w:hAnsi="David" w:cs="David"/>
          <w:b/>
          <w:bCs/>
          <w:sz w:val="24"/>
          <w:szCs w:val="24"/>
          <w:rtl/>
        </w:rPr>
        <w:t>"יש להכיר אצל מר שוסטר באובדן כושר עבודה מלא בשיעור מעל 75% מאז חודש 12.2018 ואילך"</w:t>
      </w:r>
      <w:r>
        <w:rPr>
          <w:rFonts w:ascii="David" w:hAnsi="David" w:cs="David"/>
          <w:sz w:val="24"/>
          <w:szCs w:val="24"/>
          <w:rtl/>
        </w:rPr>
        <w:t>.</w:t>
      </w:r>
    </w:p>
    <w:p w:rsidR="00DE1DD0" w:rsidRDefault="00DE1DD0" w:rsidP="00DE1DD0">
      <w:pPr>
        <w:pStyle w:val="ad"/>
        <w:numPr>
          <w:ilvl w:val="0"/>
          <w:numId w:val="3"/>
        </w:numPr>
        <w:spacing w:line="360" w:lineRule="auto"/>
        <w:jc w:val="both"/>
        <w:rPr>
          <w:rFonts w:ascii="David" w:hAnsi="David" w:cs="David"/>
          <w:sz w:val="24"/>
          <w:szCs w:val="24"/>
        </w:rPr>
      </w:pPr>
      <w:r>
        <w:rPr>
          <w:rFonts w:ascii="David" w:hAnsi="David" w:cs="David"/>
          <w:sz w:val="24"/>
          <w:szCs w:val="24"/>
          <w:u w:val="single"/>
          <w:rtl/>
        </w:rPr>
        <w:t xml:space="preserve">שני עדי התובע </w:t>
      </w:r>
      <w:r>
        <w:rPr>
          <w:rFonts w:ascii="David" w:hAnsi="David" w:cs="David"/>
          <w:sz w:val="24"/>
          <w:szCs w:val="24"/>
          <w:rtl/>
        </w:rPr>
        <w:t>– התובע עצמו וכן חוות דעת מומחה שהוגשה על ידי מר ירון שמאי, יועץ לתחום הביטוח הפנסיוני.</w:t>
      </w:r>
    </w:p>
    <w:p w:rsidR="00DE1DD0" w:rsidRDefault="00DE1DD0" w:rsidP="00DE1DD0">
      <w:pPr>
        <w:pStyle w:val="ad"/>
        <w:numPr>
          <w:ilvl w:val="0"/>
          <w:numId w:val="3"/>
        </w:numPr>
        <w:spacing w:line="360" w:lineRule="auto"/>
        <w:jc w:val="both"/>
        <w:rPr>
          <w:rFonts w:ascii="David" w:hAnsi="David" w:cs="David"/>
          <w:sz w:val="24"/>
          <w:szCs w:val="24"/>
        </w:rPr>
      </w:pPr>
      <w:r>
        <w:rPr>
          <w:rFonts w:ascii="David" w:hAnsi="David" w:cs="David"/>
          <w:sz w:val="24"/>
          <w:szCs w:val="24"/>
          <w:u w:val="single"/>
          <w:rtl/>
        </w:rPr>
        <w:t xml:space="preserve">עד הנתבעת </w:t>
      </w:r>
      <w:r>
        <w:rPr>
          <w:rFonts w:ascii="David" w:hAnsi="David" w:cs="David"/>
          <w:sz w:val="24"/>
          <w:szCs w:val="24"/>
          <w:rtl/>
        </w:rPr>
        <w:t>– מר דמיטרי חייטמן, מנכ"ל הנתבעת.</w:t>
      </w:r>
    </w:p>
    <w:p w:rsidR="00DE1DD0" w:rsidRDefault="00DE1DD0" w:rsidP="00DE1DD0">
      <w:pPr>
        <w:pStyle w:val="ad"/>
        <w:spacing w:line="360" w:lineRule="auto"/>
        <w:ind w:left="283"/>
        <w:jc w:val="both"/>
        <w:rPr>
          <w:rFonts w:ascii="David" w:hAnsi="David" w:cs="David"/>
          <w:sz w:val="24"/>
          <w:szCs w:val="24"/>
        </w:rPr>
      </w:pPr>
    </w:p>
    <w:p w:rsidR="00DE1DD0" w:rsidRDefault="00DE1DD0" w:rsidP="00DE1DD0">
      <w:pPr>
        <w:pStyle w:val="ad"/>
        <w:numPr>
          <w:ilvl w:val="1"/>
          <w:numId w:val="1"/>
        </w:numPr>
        <w:spacing w:line="360" w:lineRule="auto"/>
        <w:ind w:left="283" w:hanging="425"/>
        <w:jc w:val="both"/>
        <w:rPr>
          <w:rFonts w:ascii="David" w:hAnsi="David" w:cs="David"/>
          <w:sz w:val="24"/>
          <w:szCs w:val="24"/>
        </w:rPr>
      </w:pPr>
      <w:r>
        <w:rPr>
          <w:rFonts w:ascii="David" w:hAnsi="David" w:cs="David"/>
          <w:b/>
          <w:bCs/>
          <w:sz w:val="24"/>
          <w:szCs w:val="24"/>
          <w:u w:val="single"/>
          <w:rtl/>
        </w:rPr>
        <w:t>טענות התובע</w:t>
      </w:r>
    </w:p>
    <w:p w:rsidR="00DE1DD0" w:rsidRDefault="00DE1DD0" w:rsidP="00DE1DD0">
      <w:pPr>
        <w:pStyle w:val="ad"/>
        <w:numPr>
          <w:ilvl w:val="0"/>
          <w:numId w:val="4"/>
        </w:numPr>
        <w:spacing w:line="360" w:lineRule="auto"/>
        <w:jc w:val="both"/>
        <w:rPr>
          <w:rFonts w:ascii="David" w:hAnsi="David" w:cs="David"/>
          <w:sz w:val="24"/>
          <w:szCs w:val="24"/>
        </w:rPr>
      </w:pPr>
      <w:r>
        <w:rPr>
          <w:rFonts w:ascii="David" w:hAnsi="David" w:cs="David"/>
          <w:sz w:val="24"/>
          <w:szCs w:val="24"/>
          <w:rtl/>
        </w:rPr>
        <w:t>התובע החל עבודתו ביום 6/2/1999. ביום 1/7/2003, רכש המעסיק עבור התובע פוליסת ביטוח מנהלים בחברת "מנורה" (להלן: "</w:t>
      </w:r>
      <w:r>
        <w:rPr>
          <w:rFonts w:ascii="David" w:hAnsi="David" w:cs="David"/>
          <w:b/>
          <w:bCs/>
          <w:sz w:val="24"/>
          <w:szCs w:val="24"/>
          <w:rtl/>
        </w:rPr>
        <w:t>פוליסת ביטוח המנהלים</w:t>
      </w:r>
      <w:r>
        <w:rPr>
          <w:rFonts w:ascii="David" w:hAnsi="David" w:cs="David"/>
          <w:sz w:val="24"/>
          <w:szCs w:val="24"/>
          <w:rtl/>
        </w:rPr>
        <w:t>"). פוליסת הביטוח העניקה כיסוי אובדן כושר עבודה בשיעור של 68% מהשכר, לאחר שישה חודשי המתנה ועד לחודש יולי 2021. עוד העניקה הפוליסה כיסוי ביטוחי למקרה פטירה בסך של 235,000 ₪ צמוד למדד מיום 1/7/2003.</w:t>
      </w:r>
    </w:p>
    <w:p w:rsidR="00DE1DD0" w:rsidRDefault="00DE1DD0" w:rsidP="00DE1DD0">
      <w:pPr>
        <w:pStyle w:val="ad"/>
        <w:spacing w:line="360" w:lineRule="auto"/>
        <w:ind w:left="643"/>
        <w:jc w:val="both"/>
        <w:rPr>
          <w:rFonts w:ascii="David" w:hAnsi="David" w:cs="David"/>
          <w:sz w:val="24"/>
          <w:szCs w:val="24"/>
        </w:rPr>
      </w:pPr>
    </w:p>
    <w:p w:rsidR="00DE1DD0" w:rsidRDefault="00DE1DD0" w:rsidP="00DE1DD0">
      <w:pPr>
        <w:pStyle w:val="ad"/>
        <w:numPr>
          <w:ilvl w:val="0"/>
          <w:numId w:val="4"/>
        </w:numPr>
        <w:spacing w:line="360" w:lineRule="auto"/>
        <w:jc w:val="both"/>
        <w:rPr>
          <w:rFonts w:ascii="David" w:hAnsi="David" w:cs="David"/>
          <w:sz w:val="24"/>
          <w:szCs w:val="24"/>
        </w:rPr>
      </w:pPr>
      <w:r>
        <w:rPr>
          <w:rFonts w:ascii="David" w:hAnsi="David" w:cs="David"/>
          <w:sz w:val="24"/>
          <w:szCs w:val="24"/>
          <w:rtl/>
        </w:rPr>
        <w:t>בשנת 2013 במסגרת פגישת יעוץ עם סוכן ביטוח מהנתבעת, נוידו כספי ביטוח שהיו צבורים לתובע בחברת הפניקס לחברת מנורה לפוליסה חד פעמית.</w:t>
      </w:r>
    </w:p>
    <w:p w:rsidR="00DE1DD0" w:rsidRDefault="00DE1DD0" w:rsidP="00DE1DD0">
      <w:pPr>
        <w:pStyle w:val="ad"/>
        <w:rPr>
          <w:rFonts w:ascii="David" w:hAnsi="David" w:cs="David"/>
          <w:sz w:val="24"/>
          <w:szCs w:val="24"/>
        </w:rPr>
      </w:pPr>
    </w:p>
    <w:p w:rsidR="00DE1DD0" w:rsidRDefault="00DE1DD0" w:rsidP="00DE1DD0">
      <w:pPr>
        <w:pStyle w:val="ad"/>
        <w:numPr>
          <w:ilvl w:val="0"/>
          <w:numId w:val="4"/>
        </w:numPr>
        <w:spacing w:line="360" w:lineRule="auto"/>
        <w:jc w:val="both"/>
        <w:rPr>
          <w:rFonts w:ascii="David" w:hAnsi="David" w:cs="David"/>
          <w:sz w:val="24"/>
          <w:szCs w:val="24"/>
          <w:rtl/>
        </w:rPr>
      </w:pPr>
      <w:r>
        <w:rPr>
          <w:rFonts w:ascii="David" w:hAnsi="David" w:cs="David"/>
          <w:sz w:val="24"/>
          <w:szCs w:val="24"/>
          <w:rtl/>
        </w:rPr>
        <w:t>כשנתיים מאוחר יותר וביום 15/7/2015, צורף התובע לקרן פנסיה "מנורה מבטחים החדשה" (להלן: "</w:t>
      </w:r>
      <w:r>
        <w:rPr>
          <w:rFonts w:ascii="David" w:hAnsi="David" w:cs="David"/>
          <w:b/>
          <w:bCs/>
          <w:sz w:val="24"/>
          <w:szCs w:val="24"/>
          <w:rtl/>
        </w:rPr>
        <w:t>קרן</w:t>
      </w:r>
      <w:r>
        <w:rPr>
          <w:rFonts w:ascii="David" w:hAnsi="David" w:cs="David"/>
          <w:sz w:val="24"/>
          <w:szCs w:val="24"/>
          <w:rtl/>
        </w:rPr>
        <w:t xml:space="preserve"> </w:t>
      </w:r>
      <w:r>
        <w:rPr>
          <w:rFonts w:ascii="David" w:hAnsi="David" w:cs="David"/>
          <w:b/>
          <w:bCs/>
          <w:sz w:val="24"/>
          <w:szCs w:val="24"/>
          <w:rtl/>
        </w:rPr>
        <w:t>הפנסיה</w:t>
      </w:r>
      <w:r>
        <w:rPr>
          <w:rFonts w:ascii="David" w:hAnsi="David" w:cs="David"/>
          <w:sz w:val="24"/>
          <w:szCs w:val="24"/>
          <w:rtl/>
        </w:rPr>
        <w:t xml:space="preserve">") במקום פוליסת ביטוח המנהלים. התובע הדגיש שצעד זה היה משגה חמור שכן הוא סבל ממחלות קיימות אשר בוטחו בפוליסת ביטוח המנהלים, אך לא בוטחו במסגרת קרן הפנסיה החדשה. סוכן הביטוח היה אמור להזהיר מפני אפשרות כזו ולהימנע מביצוע הפעולה. </w:t>
      </w:r>
    </w:p>
    <w:p w:rsidR="00DE1DD0" w:rsidRDefault="00DE1DD0" w:rsidP="00DE1DD0">
      <w:pPr>
        <w:pStyle w:val="ad"/>
        <w:rPr>
          <w:rFonts w:ascii="David" w:hAnsi="David" w:cs="David"/>
          <w:sz w:val="24"/>
          <w:szCs w:val="24"/>
        </w:rPr>
      </w:pPr>
    </w:p>
    <w:p w:rsidR="00DE1DD0" w:rsidRDefault="00DE1DD0" w:rsidP="00DE1DD0">
      <w:pPr>
        <w:pStyle w:val="ad"/>
        <w:numPr>
          <w:ilvl w:val="0"/>
          <w:numId w:val="4"/>
        </w:numPr>
        <w:spacing w:line="360" w:lineRule="auto"/>
        <w:jc w:val="both"/>
        <w:rPr>
          <w:rFonts w:ascii="David" w:hAnsi="David" w:cs="David"/>
          <w:sz w:val="24"/>
          <w:szCs w:val="24"/>
          <w:rtl/>
        </w:rPr>
      </w:pPr>
      <w:r>
        <w:rPr>
          <w:rFonts w:ascii="David" w:hAnsi="David" w:cs="David"/>
          <w:sz w:val="24"/>
          <w:szCs w:val="24"/>
          <w:rtl/>
        </w:rPr>
        <w:t>התובע מציין שהוא דובר רוסית וכמעט שאינו מבין עברית. התובע לא קיבל הסבר על משמעות ההעברה ואף אילו היה מקבל הסבר, הרי מדובר בפעולה רשלנית שאינה מתיישבת עם השכל הישר. היה על סוכן הביטוח להשאיר את פוליסת ביטוח המנהלים ולא לפעול לשם קידום האינטרס שלו במכירת מוצר ביטוחי. התובע הדגיש שבעת המעבר סבל מדלקת פרקים וכן היה לאחר הליך צנתור שעבר בשנת 2005. בשל המעבר, ירדו לטמיון כיסויים ביטוחיים לפטירה ואובדן כושר עבודה. בנוסף, נדרשה תקופת אכשרה של 60 חודשים עבור הכיסויים הביטוחים לנכות ולשארים, וזאת לאור מצבו הרפואי הקיים. כתוצאה מכך, נותר התובע ללא כיסוי בגין אובדן כושר עבודה, ואולי אף נפגע הכיסוי הביטוחי למקרה פטירה, למרות שהיה מבוטח בשני הכיסויים הללו טרם השינוי.</w:t>
      </w:r>
    </w:p>
    <w:p w:rsidR="00DE1DD0" w:rsidRDefault="00DE1DD0" w:rsidP="00DE1DD0">
      <w:pPr>
        <w:pStyle w:val="ad"/>
        <w:rPr>
          <w:rFonts w:ascii="David" w:hAnsi="David" w:cs="David"/>
          <w:sz w:val="24"/>
          <w:szCs w:val="24"/>
        </w:rPr>
      </w:pPr>
    </w:p>
    <w:p w:rsidR="00DE1DD0" w:rsidRDefault="00DE1DD0" w:rsidP="00DE1DD0">
      <w:pPr>
        <w:pStyle w:val="ad"/>
        <w:numPr>
          <w:ilvl w:val="0"/>
          <w:numId w:val="4"/>
        </w:numPr>
        <w:spacing w:line="360" w:lineRule="auto"/>
        <w:jc w:val="both"/>
        <w:rPr>
          <w:rFonts w:ascii="David" w:hAnsi="David" w:cs="David"/>
          <w:sz w:val="24"/>
          <w:szCs w:val="24"/>
          <w:rtl/>
        </w:rPr>
      </w:pPr>
      <w:r>
        <w:rPr>
          <w:rFonts w:ascii="David" w:hAnsi="David" w:cs="David"/>
          <w:sz w:val="24"/>
          <w:szCs w:val="24"/>
          <w:rtl/>
        </w:rPr>
        <w:t>התובע טען שחובת סוכן הביטוח להתייחס למצבו הבריאותי של המבוטח, ולהציע לו שינויים ככל שהם סבירים, הגיוניים ומקצועיים. עוד ציין התובע שסביר שלאדם בגילו יהיו בעיות רפואיות, ולכן היה על הסוכן לנקוט בזהירות יתרה ולא להעבירו לתוכנית חדשה מבלי לבחון את מצבו הרפואי.</w:t>
      </w:r>
    </w:p>
    <w:p w:rsidR="00DE1DD0" w:rsidRDefault="00DE1DD0" w:rsidP="00DE1DD0">
      <w:pPr>
        <w:pStyle w:val="ad"/>
        <w:jc w:val="both"/>
        <w:rPr>
          <w:rFonts w:ascii="David" w:hAnsi="David" w:cs="David"/>
          <w:sz w:val="24"/>
          <w:szCs w:val="24"/>
        </w:rPr>
      </w:pPr>
    </w:p>
    <w:p w:rsidR="00DE1DD0" w:rsidRDefault="00DE1DD0" w:rsidP="00DE1DD0">
      <w:pPr>
        <w:pStyle w:val="ad"/>
        <w:numPr>
          <w:ilvl w:val="0"/>
          <w:numId w:val="4"/>
        </w:numPr>
        <w:spacing w:line="360" w:lineRule="auto"/>
        <w:jc w:val="both"/>
        <w:rPr>
          <w:rFonts w:ascii="David" w:hAnsi="David" w:cs="David"/>
          <w:sz w:val="24"/>
          <w:szCs w:val="24"/>
          <w:rtl/>
        </w:rPr>
      </w:pPr>
      <w:r>
        <w:rPr>
          <w:rFonts w:ascii="David" w:hAnsi="David" w:cs="David"/>
          <w:sz w:val="24"/>
          <w:szCs w:val="24"/>
          <w:rtl/>
        </w:rPr>
        <w:t>התובע סיים העסקתו ביום 16/12/2018 בשל מצבו הרפואי. כאשר פנה לתבוע פיצויים בגין אובדן כושר עבודה, גילה שהכיסוי הביטוחי בפוליסת ביטוח המנהלים בוטל, ונרכש לו כיסוי חדש במנורה מבטחים, הדורש תקופת אכשרה של חמש שנים לבעיות הרפואיות שהיו קיימות טרם ההצטרפות.</w:t>
      </w:r>
    </w:p>
    <w:p w:rsidR="00DE1DD0" w:rsidRDefault="00DE1DD0" w:rsidP="00DE1DD0">
      <w:pPr>
        <w:pStyle w:val="ad"/>
        <w:jc w:val="both"/>
        <w:rPr>
          <w:rFonts w:ascii="David" w:hAnsi="David" w:cs="David"/>
          <w:sz w:val="24"/>
          <w:szCs w:val="24"/>
        </w:rPr>
      </w:pPr>
    </w:p>
    <w:p w:rsidR="00DE1DD0" w:rsidRDefault="00DE1DD0" w:rsidP="00DE1DD0">
      <w:pPr>
        <w:pStyle w:val="ad"/>
        <w:numPr>
          <w:ilvl w:val="0"/>
          <w:numId w:val="4"/>
        </w:numPr>
        <w:spacing w:line="360" w:lineRule="auto"/>
        <w:jc w:val="both"/>
        <w:rPr>
          <w:rFonts w:ascii="David" w:hAnsi="David" w:cs="David"/>
          <w:sz w:val="24"/>
          <w:szCs w:val="24"/>
          <w:rtl/>
        </w:rPr>
      </w:pPr>
      <w:r>
        <w:rPr>
          <w:rFonts w:ascii="David" w:hAnsi="David" w:cs="David"/>
          <w:sz w:val="24"/>
          <w:szCs w:val="24"/>
          <w:rtl/>
        </w:rPr>
        <w:t>התובע אינו יכול לעבוד בשל מצבו הרפואי. מומחית לרפואה תעסוקתית, קבעה ביום 20/11/2018, כי התובע אינו כשיר להמשיך לעבוד בעיסוקו ואיבד את כושרו לעבוד לצמיתות. מומחה נוסף קבע שהתובע נמצא באבדן כושר עבודה מלא החל מחודש דצמבר 2018. בנוסף - וועדה רפואית של ביטוח לאומי קבעה לתובע נכות בשיעור 100% לצמיתות החל מיום 1/1/2019.</w:t>
      </w:r>
    </w:p>
    <w:p w:rsidR="00DE1DD0" w:rsidRDefault="00DE1DD0" w:rsidP="00DE1DD0">
      <w:pPr>
        <w:pStyle w:val="ad"/>
        <w:rPr>
          <w:rFonts w:ascii="David" w:hAnsi="David" w:cs="David"/>
          <w:sz w:val="24"/>
          <w:szCs w:val="24"/>
        </w:rPr>
      </w:pPr>
    </w:p>
    <w:p w:rsidR="00DE1DD0" w:rsidRDefault="00DE1DD0" w:rsidP="00DE1DD0">
      <w:pPr>
        <w:pStyle w:val="ad"/>
        <w:numPr>
          <w:ilvl w:val="0"/>
          <w:numId w:val="4"/>
        </w:numPr>
        <w:spacing w:line="360" w:lineRule="auto"/>
        <w:jc w:val="both"/>
        <w:rPr>
          <w:rFonts w:ascii="David" w:hAnsi="David" w:cs="David"/>
          <w:sz w:val="24"/>
          <w:szCs w:val="24"/>
          <w:rtl/>
        </w:rPr>
      </w:pPr>
      <w:r>
        <w:rPr>
          <w:rFonts w:ascii="David" w:hAnsi="David" w:cs="David"/>
          <w:sz w:val="24"/>
          <w:szCs w:val="24"/>
          <w:rtl/>
        </w:rPr>
        <w:t>התובע טוען שהנתבעת הפרה את הוראות סעיפים 12, 15, 17 ו-21 ל</w:t>
      </w:r>
      <w:r>
        <w:rPr>
          <w:rFonts w:ascii="David" w:hAnsi="David" w:cs="David"/>
          <w:sz w:val="24"/>
          <w:szCs w:val="24"/>
          <w:u w:val="single"/>
          <w:rtl/>
        </w:rPr>
        <w:t>חוק הפיקוח על שירותים פיננסים (עיסוק בייעוץ פנסיוני ובשיווק פנסיוני),</w:t>
      </w:r>
      <w:r>
        <w:rPr>
          <w:rFonts w:ascii="David" w:hAnsi="David" w:cs="David"/>
          <w:sz w:val="24"/>
          <w:szCs w:val="24"/>
          <w:rtl/>
        </w:rPr>
        <w:t xml:space="preserve"> התשס"ה-2005 (להלן: "</w:t>
      </w:r>
      <w:r>
        <w:rPr>
          <w:rFonts w:ascii="David" w:hAnsi="David" w:cs="David"/>
          <w:b/>
          <w:bCs/>
          <w:sz w:val="24"/>
          <w:szCs w:val="24"/>
          <w:rtl/>
        </w:rPr>
        <w:t>חוק הפיקוח על עיסוק בייעוץ פנסיוני ובשיווק פנסיונ</w:t>
      </w:r>
      <w:r>
        <w:rPr>
          <w:rFonts w:ascii="David" w:hAnsi="David" w:cs="David"/>
          <w:sz w:val="24"/>
          <w:szCs w:val="24"/>
          <w:rtl/>
        </w:rPr>
        <w:t>י"). הסוכן לא התאים את השיווק לפי צרכיו, ולא בחר את המוצר הפנסיוני המתאים לו; הסוכן הפר את חובות האמון, הזהירות והאיסור לפעול בניגוד עניינים; היה על הסוכן לבחור עבורו את הפוליסה הטובה ביותר, הכיסוי המתאים ובהיקף המספק; במקרה דנן, היה על הסוכן להשאיר את פוליסת ביטוח המנהלים של התובע פעילה ולא להעבירו לתוכנית חדשה.</w:t>
      </w:r>
    </w:p>
    <w:p w:rsidR="00DE1DD0" w:rsidRDefault="00DE1DD0" w:rsidP="00DE1DD0">
      <w:pPr>
        <w:pStyle w:val="ad"/>
        <w:spacing w:line="360" w:lineRule="auto"/>
        <w:jc w:val="both"/>
        <w:rPr>
          <w:rFonts w:ascii="David" w:hAnsi="David" w:cs="David"/>
          <w:sz w:val="24"/>
          <w:szCs w:val="24"/>
        </w:rPr>
      </w:pPr>
      <w:r>
        <w:rPr>
          <w:rFonts w:ascii="David" w:hAnsi="David" w:cs="David"/>
          <w:sz w:val="24"/>
          <w:szCs w:val="24"/>
          <w:rtl/>
        </w:rPr>
        <w:t xml:space="preserve">    </w:t>
      </w:r>
    </w:p>
    <w:p w:rsidR="00DE1DD0" w:rsidRDefault="00DE1DD0" w:rsidP="00DE1DD0">
      <w:pPr>
        <w:pStyle w:val="ad"/>
        <w:numPr>
          <w:ilvl w:val="1"/>
          <w:numId w:val="1"/>
        </w:numPr>
        <w:spacing w:line="360" w:lineRule="auto"/>
        <w:ind w:left="283" w:hanging="425"/>
        <w:jc w:val="both"/>
        <w:rPr>
          <w:rFonts w:ascii="David" w:hAnsi="David" w:cs="David"/>
          <w:b/>
          <w:bCs/>
          <w:sz w:val="24"/>
          <w:szCs w:val="24"/>
          <w:u w:val="single"/>
          <w:rtl/>
        </w:rPr>
      </w:pPr>
      <w:r>
        <w:rPr>
          <w:rFonts w:ascii="David" w:hAnsi="David" w:cs="David"/>
          <w:b/>
          <w:bCs/>
          <w:sz w:val="24"/>
          <w:szCs w:val="24"/>
          <w:u w:val="single"/>
          <w:rtl/>
        </w:rPr>
        <w:t>טענות הנתבעת</w:t>
      </w:r>
    </w:p>
    <w:p w:rsidR="00DE1DD0" w:rsidRDefault="00DE1DD0" w:rsidP="00DE1DD0">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הנתבעת טוענת שהתביעה הוגשה בשיהוי ניכר אשר יש בו כדי להעיד על חוסר תום לב. התובע התפטר מעבודתו ביום 16/12/2018 והתביעה הוגדה רק לאחר שנתיים. בנוסף, התובע הסתמך על חוות דעת של רופא תעסוקתי אשר נערכה ונחתמה רק ביום 14/6/2020, אך קבעה </w:t>
      </w:r>
      <w:r>
        <w:rPr>
          <w:rFonts w:ascii="David" w:hAnsi="David" w:cs="David"/>
          <w:sz w:val="24"/>
          <w:szCs w:val="24"/>
          <w:rtl/>
        </w:rPr>
        <w:lastRenderedPageBreak/>
        <w:t>רטרואקטיבית ובשיהוי כי התובע איבד את כושר עבודתו לצמיתות החל מחודש דצמבר 2018 ולצמיתות.</w:t>
      </w:r>
    </w:p>
    <w:p w:rsidR="00DE1DD0" w:rsidRDefault="00DE1DD0" w:rsidP="00DE1DD0">
      <w:pPr>
        <w:pStyle w:val="ad"/>
        <w:rPr>
          <w:rFonts w:ascii="David" w:hAnsi="David" w:cs="David"/>
          <w:sz w:val="24"/>
          <w:szCs w:val="24"/>
        </w:rPr>
      </w:pPr>
    </w:p>
    <w:p w:rsidR="00DE1DD0" w:rsidRDefault="00DE1DD0" w:rsidP="00DE1DD0">
      <w:pPr>
        <w:pStyle w:val="ad"/>
        <w:numPr>
          <w:ilvl w:val="0"/>
          <w:numId w:val="5"/>
        </w:numPr>
        <w:spacing w:line="360" w:lineRule="auto"/>
        <w:jc w:val="both"/>
        <w:rPr>
          <w:rFonts w:ascii="David" w:hAnsi="David" w:cs="David"/>
          <w:sz w:val="24"/>
          <w:szCs w:val="24"/>
        </w:rPr>
      </w:pPr>
      <w:r>
        <w:rPr>
          <w:rFonts w:ascii="David" w:hAnsi="David" w:cs="David"/>
          <w:sz w:val="24"/>
          <w:szCs w:val="24"/>
        </w:rPr>
        <w:t xml:space="preserve"> </w:t>
      </w:r>
      <w:r>
        <w:rPr>
          <w:rFonts w:ascii="David" w:hAnsi="David" w:cs="David"/>
          <w:sz w:val="24"/>
          <w:szCs w:val="24"/>
          <w:rtl/>
        </w:rPr>
        <w:t xml:space="preserve">הנתבעת הוסיפה וטענה להיעדר יריבות. לדבריה המעבר מפוליסת ביטוח המנהלים לקרן הפנסיה נעשתה לבקשת המעסיק והוא זה שאחראי לשינויים וכן הוא התבקש ליידע, להסביר ולהחתים את התובע על ידיעתו והסכמתו לבצע את המעבר. המעסיק  ריכז את כלל הנתונים בגין כל עובד ועובד וכן חתם על מסמך הממוען למבטחת בו ביקש לסלק את ביטוחי המנהלים של עובדיו וציין שהמעבר בוצע בהסכמת העובדים. זאת כאשר </w:t>
      </w:r>
      <w:r>
        <w:rPr>
          <w:rFonts w:ascii="David" w:hAnsi="David" w:cs="David"/>
          <w:sz w:val="24"/>
          <w:szCs w:val="24"/>
          <w:u w:val="single"/>
          <w:rtl/>
        </w:rPr>
        <w:t>לנתבעת לא היה קשר ישיר עם התובע</w:t>
      </w:r>
      <w:r>
        <w:rPr>
          <w:rFonts w:ascii="David" w:hAnsi="David" w:cs="David"/>
          <w:sz w:val="24"/>
          <w:szCs w:val="24"/>
          <w:rtl/>
        </w:rPr>
        <w:t>.</w:t>
      </w:r>
    </w:p>
    <w:p w:rsidR="00DE1DD0" w:rsidRDefault="00DE1DD0" w:rsidP="00DE1DD0">
      <w:pPr>
        <w:pStyle w:val="ad"/>
        <w:jc w:val="both"/>
        <w:rPr>
          <w:rFonts w:ascii="David" w:hAnsi="David" w:cs="David"/>
          <w:sz w:val="24"/>
          <w:szCs w:val="24"/>
        </w:rPr>
      </w:pPr>
    </w:p>
    <w:p w:rsidR="00DE1DD0" w:rsidRDefault="00DE1DD0" w:rsidP="00DE1DD0">
      <w:pPr>
        <w:pStyle w:val="ad"/>
        <w:numPr>
          <w:ilvl w:val="0"/>
          <w:numId w:val="5"/>
        </w:numPr>
        <w:spacing w:line="360" w:lineRule="auto"/>
        <w:jc w:val="both"/>
        <w:rPr>
          <w:rFonts w:ascii="David" w:hAnsi="David" w:cs="David"/>
          <w:sz w:val="24"/>
          <w:szCs w:val="24"/>
          <w:rtl/>
        </w:rPr>
      </w:pPr>
      <w:r>
        <w:rPr>
          <w:rFonts w:ascii="David" w:hAnsi="David" w:cs="David"/>
          <w:sz w:val="24"/>
          <w:szCs w:val="24"/>
          <w:rtl/>
        </w:rPr>
        <w:t>הנתבעת הפנתה לכך שבמועדים הרלוונטיים לתביעה נהגה פרוצדורה שנקראה "הסדר רבים" (להלן: "</w:t>
      </w:r>
      <w:r>
        <w:rPr>
          <w:rFonts w:ascii="David" w:hAnsi="David" w:cs="David"/>
          <w:b/>
          <w:bCs/>
          <w:sz w:val="24"/>
          <w:szCs w:val="24"/>
          <w:rtl/>
        </w:rPr>
        <w:t>ההסדר</w:t>
      </w:r>
      <w:r>
        <w:rPr>
          <w:rFonts w:ascii="David" w:hAnsi="David" w:cs="David"/>
          <w:sz w:val="24"/>
          <w:szCs w:val="24"/>
          <w:rtl/>
        </w:rPr>
        <w:t xml:space="preserve">"). במסגרת ההסדר נקשר בין מעסיק לבין קרן פנסיה הסכם לפיו יצורפו עובדי המעסיק לקרן הפנסיה </w:t>
      </w:r>
      <w:r>
        <w:rPr>
          <w:rFonts w:ascii="David" w:hAnsi="David" w:cs="David"/>
          <w:sz w:val="24"/>
          <w:szCs w:val="24"/>
          <w:u w:val="single"/>
          <w:rtl/>
        </w:rPr>
        <w:t>ללא צורך בהליך חיתום</w:t>
      </w:r>
      <w:r>
        <w:rPr>
          <w:rFonts w:ascii="David" w:hAnsi="David" w:cs="David"/>
          <w:sz w:val="24"/>
          <w:szCs w:val="24"/>
          <w:rtl/>
        </w:rPr>
        <w:t>, כאשר מועברים לקרן פרטי העובדים וכן תשלום בגינם. משמעות ההסדר היא ש</w:t>
      </w:r>
      <w:r>
        <w:rPr>
          <w:rFonts w:ascii="David" w:hAnsi="David" w:cs="David"/>
          <w:sz w:val="24"/>
          <w:szCs w:val="24"/>
          <w:u w:val="single"/>
          <w:rtl/>
        </w:rPr>
        <w:t>לא מתקיימת פגישה של נציג קרן הפנסיה או סוכן עם העובדים</w:t>
      </w:r>
      <w:r>
        <w:rPr>
          <w:rFonts w:ascii="David" w:hAnsi="David" w:cs="David"/>
          <w:sz w:val="24"/>
          <w:szCs w:val="24"/>
          <w:rtl/>
        </w:rPr>
        <w:t>. קרי, ההסכם מבוצע בין קרן הפנסיה לבין המעסיק בלבד.</w:t>
      </w:r>
    </w:p>
    <w:p w:rsidR="00DE1DD0" w:rsidRDefault="00DE1DD0" w:rsidP="00DE1DD0">
      <w:pPr>
        <w:pStyle w:val="ad"/>
        <w:jc w:val="both"/>
        <w:rPr>
          <w:rFonts w:ascii="David" w:hAnsi="David" w:cs="David"/>
          <w:sz w:val="24"/>
          <w:szCs w:val="24"/>
        </w:rPr>
      </w:pPr>
    </w:p>
    <w:p w:rsidR="00DE1DD0" w:rsidRDefault="00DE1DD0" w:rsidP="00DE1DD0">
      <w:pPr>
        <w:pStyle w:val="ad"/>
        <w:numPr>
          <w:ilvl w:val="0"/>
          <w:numId w:val="5"/>
        </w:numPr>
        <w:spacing w:line="360" w:lineRule="auto"/>
        <w:jc w:val="both"/>
        <w:rPr>
          <w:rFonts w:ascii="David" w:hAnsi="David" w:cs="David"/>
          <w:sz w:val="24"/>
          <w:szCs w:val="24"/>
          <w:rtl/>
        </w:rPr>
      </w:pPr>
      <w:r>
        <w:rPr>
          <w:rFonts w:ascii="David" w:hAnsi="David" w:cs="David"/>
          <w:sz w:val="24"/>
          <w:szCs w:val="24"/>
          <w:rtl/>
        </w:rPr>
        <w:t>הנתבעת טענה ש</w:t>
      </w:r>
      <w:r>
        <w:rPr>
          <w:rFonts w:ascii="David" w:hAnsi="David" w:cs="David"/>
          <w:sz w:val="24"/>
          <w:szCs w:val="24"/>
          <w:u w:val="single"/>
          <w:rtl/>
        </w:rPr>
        <w:t>לא חלה עליה חובה למסור מידע</w:t>
      </w:r>
      <w:r>
        <w:rPr>
          <w:rFonts w:ascii="David" w:hAnsi="David" w:cs="David"/>
          <w:sz w:val="24"/>
          <w:szCs w:val="24"/>
          <w:rtl/>
        </w:rPr>
        <w:t xml:space="preserve"> באופן אקטיבי לעניין ההצטרפות לקרן הפנסיה. התובע לא התעניין במעבר ולא ביקש מיוזמתו לקיים פגישה ומכאן אין לו להלין אלא על עצמו. אילו היה התובע פונה לנתבעת הרי היה מגלה שקיימת אופציה לביטול תקופת האכשרה באמצעות כיסוי ביטוחי מתאים, אשר נעשה באופן פרטני בין העובד לבין קרן הפנסיה.   </w:t>
      </w:r>
    </w:p>
    <w:p w:rsidR="00DE1DD0" w:rsidRDefault="00DE1DD0" w:rsidP="00DE1DD0">
      <w:pPr>
        <w:pStyle w:val="ad"/>
        <w:jc w:val="both"/>
        <w:rPr>
          <w:rFonts w:ascii="David" w:hAnsi="David" w:cs="David"/>
          <w:sz w:val="24"/>
          <w:szCs w:val="24"/>
        </w:rPr>
      </w:pPr>
    </w:p>
    <w:p w:rsidR="00DE1DD0" w:rsidRDefault="00DE1DD0" w:rsidP="00DE1DD0">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הנתבעת טענה שהמעבר לקרן הפנסיה היטיב עם התובע. </w:t>
      </w:r>
      <w:r>
        <w:rPr>
          <w:rFonts w:ascii="David" w:hAnsi="David" w:cs="David"/>
          <w:sz w:val="24"/>
          <w:szCs w:val="24"/>
          <w:u w:val="single"/>
          <w:rtl/>
        </w:rPr>
        <w:t>ראשית</w:t>
      </w:r>
      <w:r>
        <w:rPr>
          <w:rFonts w:ascii="David" w:hAnsi="David" w:cs="David"/>
          <w:sz w:val="24"/>
          <w:szCs w:val="24"/>
          <w:rtl/>
        </w:rPr>
        <w:t xml:space="preserve">, במועד הרלוונטי החובה שהוטלה על מעסיק להפריש כספי פנסיה עוגנה בצו הרחבה בענף התעשייה והמלאכה בו הועסק התובע. צו ההרחבה התייחס להפרשות מעסיק שצריכות להיות מבוצעות לקרן פנסיה, ואליה בלבד. המעסיק ביקש להעביר את עובדיו לקרן פנסיה על מנת להימנע מהפרת צו ההרחבה, וכדי להימנע מטרחה מיותרת בהגשת חוות דעת על כך שהפרשה לביטוח מנהלים אינה מפירה את הצו. </w:t>
      </w:r>
      <w:r>
        <w:rPr>
          <w:rFonts w:ascii="David" w:hAnsi="David" w:cs="David"/>
          <w:sz w:val="24"/>
          <w:szCs w:val="24"/>
          <w:u w:val="single"/>
          <w:rtl/>
        </w:rPr>
        <w:t>שנית</w:t>
      </w:r>
      <w:r>
        <w:rPr>
          <w:rFonts w:ascii="David" w:hAnsi="David" w:cs="David"/>
          <w:sz w:val="24"/>
          <w:szCs w:val="24"/>
          <w:rtl/>
        </w:rPr>
        <w:t xml:space="preserve">, העלויות הכרוכות בפוליסת ביטוח מנהלים גבוהות יותר למעסיק (7.5% משכרו של עובד לעומת 6.5% בקרן פנסיה). </w:t>
      </w:r>
      <w:r>
        <w:rPr>
          <w:rFonts w:ascii="David" w:hAnsi="David" w:cs="David"/>
          <w:sz w:val="24"/>
          <w:szCs w:val="24"/>
          <w:u w:val="single"/>
          <w:rtl/>
        </w:rPr>
        <w:t>שלישית</w:t>
      </w:r>
      <w:r>
        <w:rPr>
          <w:rFonts w:ascii="David" w:hAnsi="David" w:cs="David"/>
          <w:sz w:val="24"/>
          <w:szCs w:val="24"/>
          <w:rtl/>
        </w:rPr>
        <w:t xml:space="preserve">, קרן פנסיה מעניקה כיסוי ביטוחי רחב יותר לעובד, ודמי הניהול בה זולים יותר. </w:t>
      </w:r>
    </w:p>
    <w:p w:rsidR="00DE1DD0" w:rsidRDefault="00DE1DD0" w:rsidP="00DE1DD0">
      <w:pPr>
        <w:pStyle w:val="ad"/>
        <w:jc w:val="both"/>
        <w:rPr>
          <w:rFonts w:ascii="David" w:hAnsi="David" w:cs="David"/>
          <w:sz w:val="24"/>
          <w:szCs w:val="24"/>
        </w:rPr>
      </w:pPr>
    </w:p>
    <w:p w:rsidR="00DE1DD0" w:rsidRDefault="00DE1DD0" w:rsidP="00DE1DD0">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הנתבעת ציינה ששיעורם וסכומם של הכיסויים בגין אובדן כושר עבודה ומקרה פטירה משתנים ופוחתים עם גילו של המבוטח. לכן, אילו היה התובע ממשיך להיות מכוסה בביטוח מנהלים, הרי שבקרות האירוע הביטוחי, הכיסוי הביטוחי החודשי היה עומד על סך של 842 ₪ בלבד. מכאן גם טוענת הנתבעת שאפילו אם יימצא שהתובע זכאי לפיצוי הרי שגובה הפיצוי מסתכם בסך של </w:t>
      </w:r>
      <w:r>
        <w:rPr>
          <w:rFonts w:ascii="David" w:hAnsi="David" w:cs="David"/>
          <w:b/>
          <w:bCs/>
          <w:sz w:val="24"/>
          <w:szCs w:val="24"/>
          <w:u w:val="single"/>
          <w:rtl/>
        </w:rPr>
        <w:t>21,471 ₪ בלבד</w:t>
      </w:r>
      <w:r>
        <w:rPr>
          <w:rFonts w:ascii="David" w:hAnsi="David" w:cs="David"/>
          <w:sz w:val="24"/>
          <w:szCs w:val="24"/>
          <w:rtl/>
        </w:rPr>
        <w:t xml:space="preserve"> (מכפלת הסך של 842 ₪ ב- 25.5 חודשים ממועד התפטרות התובע –16/12/2018 ועד למועד סיום פוליסת ביטוח המנהלים - 30/7/2021 ובקיזוז 6 חודשי המתנה).</w:t>
      </w:r>
    </w:p>
    <w:p w:rsidR="00DE1DD0" w:rsidRDefault="00DE1DD0" w:rsidP="00DE1DD0">
      <w:pPr>
        <w:pStyle w:val="ad"/>
        <w:jc w:val="both"/>
        <w:rPr>
          <w:rFonts w:ascii="David" w:hAnsi="David" w:cs="David"/>
          <w:sz w:val="24"/>
          <w:szCs w:val="24"/>
        </w:rPr>
      </w:pPr>
    </w:p>
    <w:p w:rsidR="00DE1DD0" w:rsidRDefault="00DE1DD0" w:rsidP="00DE1DD0">
      <w:pPr>
        <w:pStyle w:val="ad"/>
        <w:numPr>
          <w:ilvl w:val="0"/>
          <w:numId w:val="5"/>
        </w:numPr>
        <w:spacing w:line="360" w:lineRule="auto"/>
        <w:jc w:val="both"/>
        <w:rPr>
          <w:rFonts w:ascii="David" w:hAnsi="David" w:cs="David"/>
          <w:sz w:val="24"/>
          <w:szCs w:val="24"/>
          <w:rtl/>
        </w:rPr>
      </w:pPr>
      <w:r>
        <w:rPr>
          <w:rFonts w:ascii="David" w:hAnsi="David" w:cs="David"/>
          <w:sz w:val="24"/>
          <w:szCs w:val="24"/>
          <w:rtl/>
        </w:rPr>
        <w:lastRenderedPageBreak/>
        <w:t xml:space="preserve">הנתבעת מתייחסת לטענות התובע בדבר תקופת האכשרה וטוענת שגם ללא תקופת האכשרה, לא היה התובע זכאי לפיצוי, שכן לא איבד את כושר עבודתו באופן מוחלט. </w:t>
      </w:r>
    </w:p>
    <w:p w:rsidR="00DE1DD0" w:rsidRDefault="00DE1DD0" w:rsidP="00DE1DD0">
      <w:pPr>
        <w:pStyle w:val="ad"/>
        <w:spacing w:line="360" w:lineRule="auto"/>
        <w:jc w:val="both"/>
        <w:rPr>
          <w:rFonts w:ascii="David" w:hAnsi="David" w:cs="David"/>
          <w:sz w:val="24"/>
          <w:szCs w:val="24"/>
        </w:rPr>
      </w:pPr>
    </w:p>
    <w:p w:rsidR="00DE1DD0" w:rsidRDefault="00DE1DD0" w:rsidP="00DE1DD0">
      <w:pPr>
        <w:pStyle w:val="ad"/>
        <w:numPr>
          <w:ilvl w:val="0"/>
          <w:numId w:val="5"/>
        </w:numPr>
        <w:spacing w:line="360" w:lineRule="auto"/>
        <w:jc w:val="both"/>
        <w:rPr>
          <w:rFonts w:ascii="David" w:hAnsi="David" w:cs="David"/>
          <w:sz w:val="24"/>
          <w:szCs w:val="24"/>
        </w:rPr>
      </w:pPr>
      <w:r>
        <w:rPr>
          <w:rFonts w:ascii="David" w:hAnsi="David" w:cs="David"/>
          <w:sz w:val="24"/>
          <w:szCs w:val="24"/>
          <w:rtl/>
        </w:rPr>
        <w:t>זאת ועוד, טוענת הנתבעת כי חישובי התובע אינם נכונים, והתשלומים המשולמים למבוטחים על ידי קרן הפנסיה מבוצעים לאחר קיזוז כספים המשולמים לאותם מבוטחים על ידי גורמים ממשלתיים.</w:t>
      </w:r>
    </w:p>
    <w:p w:rsidR="00DE1DD0" w:rsidRDefault="00DE1DD0" w:rsidP="00DE1DD0">
      <w:pPr>
        <w:pStyle w:val="ad"/>
        <w:rPr>
          <w:rFonts w:ascii="David" w:hAnsi="David" w:cs="David"/>
          <w:sz w:val="24"/>
          <w:szCs w:val="24"/>
          <w:rtl/>
        </w:rPr>
      </w:pPr>
    </w:p>
    <w:p w:rsidR="00DE1DD0" w:rsidRDefault="00DE1DD0" w:rsidP="00DE1DD0">
      <w:pPr>
        <w:pStyle w:val="ad"/>
        <w:rPr>
          <w:rFonts w:ascii="David" w:hAnsi="David" w:cs="David"/>
          <w:sz w:val="24"/>
          <w:szCs w:val="24"/>
        </w:rPr>
      </w:pPr>
    </w:p>
    <w:p w:rsidR="00DE1DD0" w:rsidRDefault="00DE1DD0" w:rsidP="00DE1DD0">
      <w:pPr>
        <w:pStyle w:val="ad"/>
        <w:spacing w:line="360" w:lineRule="auto"/>
        <w:ind w:left="-568"/>
        <w:jc w:val="both"/>
        <w:rPr>
          <w:rFonts w:ascii="David" w:hAnsi="David" w:cs="David"/>
          <w:b/>
          <w:bCs/>
          <w:sz w:val="28"/>
          <w:szCs w:val="28"/>
          <w:u w:val="single"/>
          <w:rtl/>
        </w:rPr>
      </w:pPr>
      <w:r>
        <w:rPr>
          <w:rFonts w:ascii="David" w:hAnsi="David" w:cs="David"/>
          <w:b/>
          <w:bCs/>
          <w:sz w:val="28"/>
          <w:szCs w:val="28"/>
          <w:u w:val="single"/>
          <w:rtl/>
        </w:rPr>
        <w:t xml:space="preserve">חלק שני – דיון והכרעה </w:t>
      </w:r>
    </w:p>
    <w:p w:rsidR="00DE1DD0" w:rsidRDefault="00DE1DD0" w:rsidP="00DE1DD0">
      <w:pPr>
        <w:pStyle w:val="ad"/>
        <w:spacing w:line="360" w:lineRule="auto"/>
        <w:ind w:left="-172"/>
        <w:jc w:val="both"/>
        <w:rPr>
          <w:rFonts w:ascii="David" w:hAnsi="David" w:cs="David"/>
          <w:sz w:val="24"/>
          <w:szCs w:val="24"/>
          <w:u w:val="single"/>
          <w:rtl/>
        </w:rPr>
      </w:pPr>
    </w:p>
    <w:p w:rsidR="00DE1DD0" w:rsidRDefault="00DE1DD0" w:rsidP="00DE1DD0">
      <w:pPr>
        <w:pStyle w:val="ad"/>
        <w:numPr>
          <w:ilvl w:val="0"/>
          <w:numId w:val="1"/>
        </w:numPr>
        <w:spacing w:line="360" w:lineRule="auto"/>
        <w:ind w:left="-172" w:hanging="284"/>
        <w:jc w:val="both"/>
        <w:rPr>
          <w:rFonts w:ascii="David" w:hAnsi="David" w:cs="David"/>
          <w:sz w:val="24"/>
          <w:szCs w:val="24"/>
          <w:u w:val="single"/>
        </w:rPr>
      </w:pPr>
      <w:r>
        <w:rPr>
          <w:rFonts w:ascii="David" w:hAnsi="David" w:cs="David"/>
          <w:b/>
          <w:bCs/>
          <w:sz w:val="24"/>
          <w:szCs w:val="24"/>
          <w:u w:val="single"/>
          <w:rtl/>
        </w:rPr>
        <w:t>התובע "הועבר" מכיסוי בפוליסת ביטוח מנהלים אל קרן הפנסיה, ללא שהנתבעת העניקה הסבר מקצועי וממילא לא ערכה כל בדיקה מקצועית – כך הודה מנכ"ל הנתבעת כבר בתצהירו</w:t>
      </w: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sz w:val="24"/>
          <w:szCs w:val="24"/>
          <w:rtl/>
        </w:rPr>
        <w:t>במסגרת הדיון התחוור שהתובע "הועבר" אל קרן הפנסיה ללא הסכמתו. יותר מכך, העברת התובע נעשתה אפילו מבלי שהתבקשה הסכמתו. לענין זה הדגיש התובע את מצבו הרפואי, את גילו וכמובן את העובדה שהוא דובר רוסית בלבד וכמעט אינו מבין עברית. כבר עתה אציין שאפילו ללא ההפניה למצבו האישי של התובע – הרי לא היה מקום להעביר את הכיסוי הביטוחי ארוך השנים שלו, ללא קבלת הסכמתו מראש. הסכמה שחייבת היתה להינתן לאחר קבלת ייעוץ מקצועי.</w:t>
      </w:r>
    </w:p>
    <w:p w:rsidR="00DE1DD0" w:rsidRDefault="00DE1DD0" w:rsidP="00DE1DD0">
      <w:pPr>
        <w:pStyle w:val="ad"/>
        <w:spacing w:line="360" w:lineRule="auto"/>
        <w:ind w:left="566"/>
        <w:jc w:val="both"/>
        <w:rPr>
          <w:rFonts w:ascii="David" w:hAnsi="David" w:cs="David"/>
          <w:sz w:val="24"/>
          <w:szCs w:val="24"/>
        </w:rPr>
      </w:pP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sz w:val="24"/>
          <w:szCs w:val="24"/>
          <w:rtl/>
        </w:rPr>
        <w:t>בסעיף 5 להלן ארחיב בדבר חובתה של הנתבעת, מכח הדין,  להעניק ייעוץ פנסיוני והסברים למי שמקבל כיסוי ביטוחי בתיווכה. אך בפסקאות הבאות, ועוד טרם הפניה למסגרת הנורמטיבית, אפנה להתנהלות הנתבעת. התנהלות מקוממת של התעלמות מהתובע. לא רק רשלנות היתה כאן, אלא ביטולו המוחלט של התובע, ואדישות מופגנת לצרכיו, לגילו ולמצבו הבריאותי. הנתבעת, בעלת המקצוע, אפילו לא התיימרה להעניק ייעוץ או הסבר כלשהו. הנתבעת התפשטה מכל חובותיה שבדין  – והסתפקה בהצהרת המעסיק לפיה הוא (המעסיק) העביר ההסברים הנדרשים.</w:t>
      </w:r>
    </w:p>
    <w:p w:rsidR="00DE1DD0" w:rsidRDefault="00DE1DD0" w:rsidP="00DE1DD0">
      <w:pPr>
        <w:pStyle w:val="ad"/>
        <w:rPr>
          <w:rFonts w:ascii="David" w:hAnsi="David" w:cs="David"/>
          <w:sz w:val="24"/>
          <w:szCs w:val="24"/>
        </w:rPr>
      </w:pPr>
    </w:p>
    <w:p w:rsidR="00DE1DD0" w:rsidRDefault="00DE1DD0" w:rsidP="00DE1DD0">
      <w:pPr>
        <w:pStyle w:val="ad"/>
        <w:numPr>
          <w:ilvl w:val="1"/>
          <w:numId w:val="1"/>
        </w:numPr>
        <w:spacing w:line="360" w:lineRule="auto"/>
        <w:ind w:left="566" w:hanging="708"/>
        <w:jc w:val="both"/>
        <w:rPr>
          <w:rFonts w:ascii="David" w:hAnsi="David" w:cs="David"/>
          <w:sz w:val="24"/>
          <w:szCs w:val="24"/>
          <w:rtl/>
        </w:rPr>
      </w:pPr>
      <w:r>
        <w:rPr>
          <w:rFonts w:ascii="David" w:hAnsi="David" w:cs="David"/>
          <w:sz w:val="24"/>
          <w:szCs w:val="24"/>
          <w:rtl/>
        </w:rPr>
        <w:t>על מנת להבין עד כמה כשלה הנתבעת בהתנהלותה, די אם נעיין בתצהיר מנהלה. תצהיר בו נאלץ להודות שאכן לא עשה דבר וחצי דבר על מנת להסביר לתובע אודות השינויים בכיסוי הביטוחי. ממילא לא דאג לערוך בדיקה כלשהי של צרכי התובע. לענין זה הצהיר מנכ"ל הנתבעת כך (סעיף 10 לתצהירו, ההדגשות לא במקור):</w:t>
      </w:r>
    </w:p>
    <w:p w:rsidR="00DE1DD0" w:rsidRDefault="00DE1DD0" w:rsidP="00DE1DD0">
      <w:pPr>
        <w:pStyle w:val="ad"/>
        <w:spacing w:line="360" w:lineRule="auto"/>
        <w:ind w:left="1440"/>
        <w:jc w:val="both"/>
        <w:rPr>
          <w:rFonts w:ascii="David" w:hAnsi="David" w:cs="David"/>
          <w:b/>
          <w:bCs/>
          <w:sz w:val="24"/>
          <w:szCs w:val="24"/>
        </w:rPr>
      </w:pPr>
      <w:r>
        <w:rPr>
          <w:rFonts w:ascii="David" w:hAnsi="David" w:cs="David"/>
          <w:b/>
          <w:bCs/>
          <w:sz w:val="24"/>
          <w:szCs w:val="24"/>
          <w:rtl/>
        </w:rPr>
        <w:t xml:space="preserve">"כאמור, </w:t>
      </w:r>
      <w:r>
        <w:rPr>
          <w:rFonts w:ascii="David" w:hAnsi="David" w:cs="David"/>
          <w:b/>
          <w:bCs/>
          <w:sz w:val="24"/>
          <w:szCs w:val="24"/>
          <w:u w:val="single"/>
          <w:rtl/>
        </w:rPr>
        <w:t>המעסיקה דאגה להסביר לתובע</w:t>
      </w:r>
      <w:r>
        <w:rPr>
          <w:rFonts w:ascii="David" w:hAnsi="David" w:cs="David"/>
          <w:b/>
          <w:bCs/>
          <w:sz w:val="24"/>
          <w:szCs w:val="24"/>
          <w:rtl/>
        </w:rPr>
        <w:t xml:space="preserve"> את הצורך במעבר בין ביטוח המנהלים לקרן הפנסיה החדשה. כן, </w:t>
      </w:r>
      <w:r>
        <w:rPr>
          <w:rFonts w:ascii="David" w:hAnsi="David" w:cs="David"/>
          <w:b/>
          <w:bCs/>
          <w:sz w:val="24"/>
          <w:szCs w:val="24"/>
          <w:u w:val="single"/>
          <w:rtl/>
        </w:rPr>
        <w:t>המעסיקה דאגה</w:t>
      </w:r>
      <w:r>
        <w:rPr>
          <w:rFonts w:ascii="David" w:hAnsi="David" w:cs="David"/>
          <w:b/>
          <w:bCs/>
          <w:sz w:val="24"/>
          <w:szCs w:val="24"/>
          <w:rtl/>
        </w:rPr>
        <w:t xml:space="preserve"> לסלק את פוליסת הביטוח של עובדיה, לרבות התובע עצמו </w:t>
      </w:r>
      <w:r>
        <w:rPr>
          <w:rFonts w:ascii="David" w:hAnsi="David" w:cs="David"/>
          <w:b/>
          <w:bCs/>
          <w:sz w:val="24"/>
          <w:szCs w:val="24"/>
          <w:u w:val="single"/>
          <w:rtl/>
        </w:rPr>
        <w:t>לאור הסכמתם המפורשת ומדעת</w:t>
      </w:r>
      <w:r>
        <w:rPr>
          <w:rFonts w:ascii="David" w:hAnsi="David" w:cs="David"/>
          <w:b/>
          <w:bCs/>
          <w:sz w:val="24"/>
          <w:szCs w:val="24"/>
          <w:rtl/>
        </w:rPr>
        <w:t>..."</w:t>
      </w:r>
    </w:p>
    <w:p w:rsidR="00DE1DD0" w:rsidRDefault="00DE1DD0" w:rsidP="00DE1DD0">
      <w:pPr>
        <w:pStyle w:val="ad"/>
        <w:spacing w:line="360" w:lineRule="auto"/>
        <w:ind w:left="1440"/>
        <w:jc w:val="both"/>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 xml:space="preserve">כלומר, את ההסברים המקצועיים והבדיקה המקצועית אשר לה הוכשר מנכ"ל הנתבעת, ערכה המעסיקה הפועלת, לפי שמה, בבניית ומכירת סולמות. מנכ"ל הנתבעת אף אינו מהסס להטיל את </w:t>
      </w:r>
      <w:r>
        <w:rPr>
          <w:rFonts w:ascii="David" w:hAnsi="David" w:cs="David"/>
          <w:sz w:val="24"/>
          <w:szCs w:val="24"/>
          <w:rtl/>
        </w:rPr>
        <w:lastRenderedPageBreak/>
        <w:t>כל אחריותו המקצועית, על כתפי המעסיקה ומציין בתצהירו כך (סעיף 4.1 לתצהיר, ההדגשות לא במקור):</w:t>
      </w:r>
    </w:p>
    <w:p w:rsidR="00DE1DD0" w:rsidRDefault="00DE1DD0" w:rsidP="00DE1DD0">
      <w:pPr>
        <w:pStyle w:val="ad"/>
        <w:spacing w:line="360" w:lineRule="auto"/>
        <w:ind w:left="1440"/>
        <w:jc w:val="both"/>
        <w:rPr>
          <w:rFonts w:ascii="David" w:hAnsi="David" w:cs="David"/>
          <w:b/>
          <w:bCs/>
          <w:sz w:val="24"/>
          <w:szCs w:val="24"/>
          <w:rtl/>
        </w:rPr>
      </w:pPr>
      <w:r>
        <w:rPr>
          <w:rFonts w:ascii="David" w:hAnsi="David" w:cs="David"/>
          <w:b/>
          <w:bCs/>
          <w:sz w:val="24"/>
          <w:szCs w:val="24"/>
          <w:rtl/>
        </w:rPr>
        <w:t>"אטען כי המעסיקה היא-היא האחראית לשינויים שביקשה לערוך במעבר בין ביטוח המנהלים לקרן פנסיה ו</w:t>
      </w:r>
      <w:r>
        <w:rPr>
          <w:rFonts w:ascii="David" w:hAnsi="David" w:cs="David"/>
          <w:b/>
          <w:bCs/>
          <w:sz w:val="24"/>
          <w:szCs w:val="24"/>
          <w:u w:val="single"/>
          <w:rtl/>
        </w:rPr>
        <w:t>היא זו שנתבקשה ליידע ו/או להסביר ו/או להחתים את התובע על ידיעתו והסכמתו מדעת לבצע את המעבר בין הפוליסות</w:t>
      </w:r>
      <w:r>
        <w:rPr>
          <w:rFonts w:ascii="David" w:hAnsi="David" w:cs="David"/>
          <w:b/>
          <w:bCs/>
          <w:sz w:val="24"/>
          <w:szCs w:val="24"/>
          <w:rtl/>
        </w:rPr>
        <w:t>"</w:t>
      </w:r>
    </w:p>
    <w:p w:rsidR="00DE1DD0" w:rsidRDefault="00DE1DD0" w:rsidP="00DE1DD0">
      <w:pPr>
        <w:pStyle w:val="ad"/>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אין מדובר בטעות קולמוס או בגרסה משנית של הנתבעת. ניתן לראות שהנתבעת חזרה בתצהירה, פעם אחר פעם על כך שהאחריות המקצועית באשר לייעוץ הפנסיוני, היא של מתקינת הסולמות אצלה עבד התובע. וכך חזר מנכ"ל הנתבעת והצהיר (סעיף 4.3 לתצהיר):</w:t>
      </w:r>
    </w:p>
    <w:p w:rsidR="00DE1DD0" w:rsidRDefault="00DE1DD0" w:rsidP="00DE1DD0">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"אבהיר כי המעבר נעשה </w:t>
      </w:r>
      <w:r>
        <w:rPr>
          <w:rFonts w:ascii="David" w:hAnsi="David" w:cs="David"/>
          <w:b/>
          <w:bCs/>
          <w:sz w:val="24"/>
          <w:szCs w:val="24"/>
          <w:u w:val="single"/>
          <w:rtl/>
        </w:rPr>
        <w:t>באמצעות המעסיקה</w:t>
      </w:r>
      <w:r>
        <w:rPr>
          <w:rFonts w:ascii="David" w:hAnsi="David" w:cs="David"/>
          <w:b/>
          <w:bCs/>
          <w:sz w:val="24"/>
          <w:szCs w:val="24"/>
          <w:rtl/>
        </w:rPr>
        <w:t xml:space="preserve">, אשר ריכזה את כלל הנתונים בגין כל עובד ועובד שלה והתובע נתן הסכמתו למעבר לאחר קבלת מלוא המידע" </w:t>
      </w:r>
    </w:p>
    <w:p w:rsidR="00DE1DD0" w:rsidRDefault="00DE1DD0" w:rsidP="00DE1DD0">
      <w:pPr>
        <w:pStyle w:val="ad"/>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 xml:space="preserve">וכך מעלה הנתבעת טענה כאילו על סמך ההסברים המקצועיים של המעסיקה, נתן התובע את הסכמתו. לענין זה ייאמרו שניים – </w:t>
      </w:r>
      <w:r>
        <w:rPr>
          <w:rFonts w:ascii="David" w:hAnsi="David" w:cs="David"/>
          <w:b/>
          <w:bCs/>
          <w:sz w:val="24"/>
          <w:szCs w:val="24"/>
          <w:u w:val="single"/>
          <w:rtl/>
        </w:rPr>
        <w:t>ראשית</w:t>
      </w:r>
      <w:r>
        <w:rPr>
          <w:rFonts w:ascii="David" w:hAnsi="David" w:cs="David"/>
          <w:sz w:val="24"/>
          <w:szCs w:val="24"/>
          <w:rtl/>
        </w:rPr>
        <w:t xml:space="preserve">, גם כך ראוי היה שאת ההסברים המקצועיים יעניק בעל מקצוע ולא מתקין סולמות או כל מי שאינו בקי בביטוח פנסיוני; </w:t>
      </w:r>
      <w:r>
        <w:rPr>
          <w:rFonts w:ascii="David" w:hAnsi="David" w:cs="David"/>
          <w:b/>
          <w:bCs/>
          <w:sz w:val="24"/>
          <w:szCs w:val="24"/>
          <w:u w:val="single"/>
          <w:rtl/>
        </w:rPr>
        <w:t>שנית, ולגופו של ענין</w:t>
      </w:r>
      <w:r>
        <w:rPr>
          <w:rFonts w:ascii="David" w:hAnsi="David" w:cs="David"/>
          <w:sz w:val="24"/>
          <w:szCs w:val="24"/>
          <w:rtl/>
        </w:rPr>
        <w:t xml:space="preserve"> – הטענה לפיה התובע "נתן הסכמתו" לא עולה בקנה אחד עם המציאות, הכל כפי שיורחב בפסקה הבאה. </w:t>
      </w:r>
    </w:p>
    <w:p w:rsidR="00DE1DD0" w:rsidRDefault="00DE1DD0" w:rsidP="00DE1DD0">
      <w:pPr>
        <w:pStyle w:val="ad"/>
        <w:rPr>
          <w:rFonts w:ascii="David" w:hAnsi="David" w:cs="David"/>
          <w:sz w:val="24"/>
          <w:szCs w:val="24"/>
          <w:rtl/>
        </w:rPr>
      </w:pPr>
    </w:p>
    <w:p w:rsidR="00DE1DD0" w:rsidRDefault="00DE1DD0" w:rsidP="00DE1DD0">
      <w:pPr>
        <w:pStyle w:val="ad"/>
        <w:numPr>
          <w:ilvl w:val="1"/>
          <w:numId w:val="1"/>
        </w:numPr>
        <w:spacing w:line="360" w:lineRule="auto"/>
        <w:ind w:left="566" w:hanging="708"/>
        <w:jc w:val="both"/>
        <w:rPr>
          <w:rFonts w:ascii="David" w:hAnsi="David" w:cs="David"/>
          <w:sz w:val="24"/>
          <w:szCs w:val="24"/>
          <w:rtl/>
        </w:rPr>
      </w:pPr>
      <w:r>
        <w:rPr>
          <w:rFonts w:ascii="David" w:hAnsi="David" w:cs="David"/>
          <w:sz w:val="24"/>
          <w:szCs w:val="24"/>
          <w:rtl/>
        </w:rPr>
        <w:t>אין חולק על כך שהתובע לא חתם על דבר. התובע לא חתם על הסכמה לביטול ביטוח המנהלים וממילא לא מעבר לקרן הפנסיה. יותר מכך, התובע אפילו לא התבקש לחתום על הסכמה לפיה "יועבר" לקרן הפנסיה. הנתבעת, אשר התייחסה רק למעסיק והתעלמה מחובתה המקצועית – התעלמה לחלוטין מהתובע.</w:t>
      </w:r>
    </w:p>
    <w:p w:rsidR="00DE1DD0" w:rsidRDefault="00DE1DD0" w:rsidP="00DE1DD0">
      <w:pPr>
        <w:pStyle w:val="ad"/>
        <w:spacing w:line="360" w:lineRule="auto"/>
        <w:ind w:left="566"/>
        <w:jc w:val="both"/>
        <w:rPr>
          <w:rFonts w:ascii="David" w:hAnsi="David" w:cs="David"/>
          <w:sz w:val="24"/>
          <w:szCs w:val="24"/>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 xml:space="preserve">התובע אף מתאר כיצד הבהיר שהוא </w:t>
      </w:r>
      <w:r>
        <w:rPr>
          <w:rFonts w:ascii="David" w:hAnsi="David" w:cs="David"/>
          <w:sz w:val="24"/>
          <w:szCs w:val="24"/>
          <w:u w:val="single"/>
          <w:rtl/>
        </w:rPr>
        <w:t>מסרב</w:t>
      </w:r>
      <w:r>
        <w:rPr>
          <w:rFonts w:ascii="David" w:hAnsi="David" w:cs="David"/>
          <w:sz w:val="24"/>
          <w:szCs w:val="24"/>
          <w:rtl/>
        </w:rPr>
        <w:t xml:space="preserve"> לבטל את ביטוח המנהלים וכלשונו (ע"מ 51, ש' 1-8, ההדגשות לא במקור. העדות נאמרת ב"גוף שלישי" שכן בתמלול נשמעים דברי המתורגמן):</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א. שוסטר:</w:t>
      </w:r>
      <w:r>
        <w:rPr>
          <w:rFonts w:cs="David"/>
          <w:sz w:val="24"/>
          <w:szCs w:val="24"/>
          <w:u w:val="none"/>
          <w:rtl/>
        </w:rPr>
        <w:tab/>
        <w:t xml:space="preserve">הוא טוען </w:t>
      </w:r>
      <w:bookmarkStart w:id="2" w:name="_ETM_Q_1681122"/>
      <w:bookmarkEnd w:id="2"/>
      <w:r>
        <w:rPr>
          <w:rFonts w:cs="David"/>
          <w:sz w:val="24"/>
          <w:szCs w:val="24"/>
          <w:u w:val="none"/>
          <w:rtl/>
        </w:rPr>
        <w:t>שדימיטרי לא הסביר לו שום דבר. הוא הציע לו רק</w:t>
      </w:r>
      <w:bookmarkStart w:id="3" w:name="_ETM_Q_1681673"/>
      <w:bookmarkEnd w:id="3"/>
      <w:r>
        <w:rPr>
          <w:rFonts w:cs="David"/>
          <w:sz w:val="24"/>
          <w:szCs w:val="24"/>
          <w:u w:val="none"/>
          <w:rtl/>
        </w:rPr>
        <w:t xml:space="preserve"> להחליף את הפוליסה. </w:t>
      </w:r>
      <w:r>
        <w:rPr>
          <w:rFonts w:cs="David"/>
          <w:sz w:val="24"/>
          <w:szCs w:val="24"/>
          <w:rtl/>
        </w:rPr>
        <w:t xml:space="preserve">איך שהוא שמע שהציעו לו להחליף את </w:t>
      </w:r>
      <w:bookmarkStart w:id="4" w:name="_ETM_Q_1687083"/>
      <w:bookmarkEnd w:id="4"/>
      <w:r>
        <w:rPr>
          <w:rFonts w:cs="David"/>
          <w:sz w:val="24"/>
          <w:szCs w:val="24"/>
          <w:rtl/>
        </w:rPr>
        <w:t>הפוליסה הוא מיד סירב ולא רצה להמשיך את השיחה</w:t>
      </w:r>
      <w:r>
        <w:rPr>
          <w:rFonts w:cs="David"/>
          <w:sz w:val="24"/>
          <w:szCs w:val="24"/>
          <w:u w:val="none"/>
          <w:rtl/>
        </w:rPr>
        <w:t xml:space="preserve">. </w:t>
      </w:r>
      <w:r>
        <w:rPr>
          <w:rFonts w:cs="David"/>
          <w:sz w:val="24"/>
          <w:szCs w:val="24"/>
          <w:rtl/>
        </w:rPr>
        <w:t xml:space="preserve">אני </w:t>
      </w:r>
      <w:bookmarkStart w:id="5" w:name="_ETM_Q_1690549"/>
      <w:bookmarkEnd w:id="5"/>
      <w:r>
        <w:rPr>
          <w:rFonts w:cs="David"/>
          <w:sz w:val="24"/>
          <w:szCs w:val="24"/>
          <w:rtl/>
        </w:rPr>
        <w:t>לא יודע קרן פנסיה או ביטוח מנהלים, אני אותו דבר</w:t>
      </w:r>
      <w:r>
        <w:rPr>
          <w:rFonts w:cs="David"/>
          <w:sz w:val="24"/>
          <w:szCs w:val="24"/>
          <w:u w:val="none"/>
          <w:rtl/>
        </w:rPr>
        <w:t xml:space="preserve">. </w:t>
      </w:r>
      <w:bookmarkStart w:id="6" w:name="_ETM_Q_1694831"/>
      <w:bookmarkEnd w:id="6"/>
      <w:r>
        <w:rPr>
          <w:rFonts w:cs="David"/>
          <w:sz w:val="24"/>
          <w:szCs w:val="24"/>
          <w:u w:val="none"/>
          <w:rtl/>
        </w:rPr>
        <w:t>אני לשלם לבד, הוא לא יודע מה ההבדל בין</w:t>
      </w:r>
      <w:bookmarkStart w:id="7" w:name="_ETM_Q_1703839"/>
      <w:bookmarkEnd w:id="7"/>
      <w:r>
        <w:rPr>
          <w:rFonts w:cs="David"/>
          <w:sz w:val="24"/>
          <w:szCs w:val="24"/>
          <w:u w:val="none"/>
          <w:rtl/>
        </w:rPr>
        <w:t xml:space="preserve"> קרן הפנסיה לבין ביטוח מנהלים. הוא לא הכיר את</w:t>
      </w:r>
      <w:bookmarkStart w:id="8" w:name="_ETM_Q_1708742"/>
      <w:bookmarkEnd w:id="8"/>
      <w:r>
        <w:rPr>
          <w:rFonts w:cs="David"/>
          <w:sz w:val="24"/>
          <w:szCs w:val="24"/>
          <w:u w:val="none"/>
          <w:rtl/>
        </w:rPr>
        <w:t xml:space="preserve"> דימיטרי כדי לבטוח ולהבין את מה שהוא בכלל אומר ומה</w:t>
      </w:r>
      <w:bookmarkStart w:id="9" w:name="_ETM_Q_1711647"/>
      <w:bookmarkEnd w:id="9"/>
      <w:r>
        <w:rPr>
          <w:rFonts w:cs="David"/>
          <w:sz w:val="24"/>
          <w:szCs w:val="24"/>
          <w:u w:val="none"/>
          <w:rtl/>
        </w:rPr>
        <w:t xml:space="preserve"> שהוא מציע והוא אמר שהוא שילם מכספו את נושא אובדן כושר עבודה</w:t>
      </w:r>
      <w:bookmarkStart w:id="10" w:name="_ETM_Q_1716762"/>
      <w:bookmarkEnd w:id="10"/>
      <w:r>
        <w:rPr>
          <w:rFonts w:cs="David"/>
          <w:sz w:val="24"/>
          <w:szCs w:val="24"/>
          <w:u w:val="none"/>
          <w:rtl/>
        </w:rPr>
        <w:t xml:space="preserve"> ולכן, 14.5 שנים, </w:t>
      </w:r>
      <w:r>
        <w:rPr>
          <w:rFonts w:cs="David"/>
          <w:sz w:val="24"/>
          <w:szCs w:val="24"/>
          <w:rtl/>
        </w:rPr>
        <w:t>הוא טוען שהוא שילם 14.5 שנים</w:t>
      </w:r>
      <w:bookmarkStart w:id="11" w:name="_ETM_Q_1720532"/>
      <w:bookmarkEnd w:id="11"/>
      <w:r>
        <w:rPr>
          <w:rFonts w:cs="David"/>
          <w:sz w:val="24"/>
          <w:szCs w:val="24"/>
          <w:rtl/>
        </w:rPr>
        <w:t xml:space="preserve"> אובדן כושר עבודה מכספו. היה לו בתלושים סעיף נפרד לתשלום הפרטי</w:t>
      </w:r>
      <w:bookmarkStart w:id="12" w:name="_ETM_Q_1733232"/>
      <w:bookmarkEnd w:id="12"/>
      <w:r>
        <w:rPr>
          <w:rFonts w:cs="David"/>
          <w:sz w:val="24"/>
          <w:szCs w:val="24"/>
          <w:rtl/>
        </w:rPr>
        <w:t xml:space="preserve"> שלו והוא לא היה מוכן להחליף פוליסה</w:t>
      </w:r>
      <w:r>
        <w:rPr>
          <w:rFonts w:cs="David"/>
          <w:sz w:val="24"/>
          <w:szCs w:val="24"/>
          <w:u w:val="none"/>
          <w:rtl/>
        </w:rPr>
        <w:t>.</w:t>
      </w:r>
    </w:p>
    <w:p w:rsidR="00DE1DD0" w:rsidRDefault="00DE1DD0" w:rsidP="00DE1DD0">
      <w:pPr>
        <w:pStyle w:val="ad"/>
        <w:rPr>
          <w:rFonts w:ascii="David" w:hAnsi="David" w:cs="David"/>
          <w:sz w:val="24"/>
          <w:szCs w:val="24"/>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lastRenderedPageBreak/>
        <w:t xml:space="preserve">כאשר העיד מנכ"ל הנתבעת התברר באופן חד משמעי שהתובע לא קיבל כל הסבר. בהמשך, ובסעיף 4 להלן אפנה לכך שמנכ"ל הנתבעת </w:t>
      </w:r>
      <w:r>
        <w:rPr>
          <w:rFonts w:ascii="David" w:hAnsi="David" w:cs="David"/>
          <w:sz w:val="24"/>
          <w:szCs w:val="24"/>
          <w:u w:val="single"/>
          <w:rtl/>
        </w:rPr>
        <w:t>הצהיר בכתב</w:t>
      </w:r>
      <w:r>
        <w:rPr>
          <w:rFonts w:ascii="David" w:hAnsi="David" w:cs="David"/>
          <w:sz w:val="24"/>
          <w:szCs w:val="24"/>
          <w:rtl/>
        </w:rPr>
        <w:t xml:space="preserve"> שלא נערכו מסמכי הנמקה ולמעשה לא היתה כל בדיקה וייעוץ פרטניים. אך בשלב זה אשוב לחקירה הנגדית של מנכ"ל הנתבעת בה טען שפקידה מטעמו בשם ג'ניה העניקה הסברים. פקידה שכלל לא מסרה תצהיר ולא העידה בדיון. וכך טען מנכ"ל הנתבעת (ע"מ 68 שורות 8-17):</w:t>
      </w:r>
    </w:p>
    <w:p w:rsidR="00DE1DD0" w:rsidRDefault="00DE1DD0" w:rsidP="00081E3B">
      <w:pPr>
        <w:pStyle w:val="10"/>
        <w:shd w:val="clear" w:color="auto" w:fill="auto"/>
        <w:tabs>
          <w:tab w:val="left" w:pos="3202"/>
        </w:tabs>
        <w:spacing w:line="360" w:lineRule="auto"/>
        <w:ind w:left="2777" w:hanging="1843"/>
        <w:jc w:val="both"/>
        <w:rPr>
          <w:rFonts w:cs="David"/>
          <w:sz w:val="24"/>
          <w:szCs w:val="24"/>
          <w:u w:val="none"/>
          <w:rtl/>
        </w:rPr>
      </w:pPr>
      <w:r>
        <w:rPr>
          <w:rFonts w:cs="David"/>
          <w:sz w:val="24"/>
          <w:szCs w:val="24"/>
          <w:u w:val="none"/>
          <w:rtl/>
        </w:rPr>
        <w:t>כב' הש' ברקאי:</w:t>
      </w:r>
      <w:r>
        <w:rPr>
          <w:rFonts w:cs="David"/>
          <w:sz w:val="24"/>
          <w:szCs w:val="24"/>
          <w:u w:val="none"/>
          <w:rtl/>
        </w:rPr>
        <w:tab/>
        <w:t xml:space="preserve">ועכשיו </w:t>
      </w:r>
      <w:bookmarkStart w:id="13" w:name="_ETM_Q_543419"/>
      <w:bookmarkEnd w:id="13"/>
      <w:r>
        <w:rPr>
          <w:rFonts w:cs="David"/>
          <w:sz w:val="24"/>
          <w:szCs w:val="24"/>
          <w:u w:val="none"/>
          <w:rtl/>
        </w:rPr>
        <w:t xml:space="preserve">אני חוזר לשאלה. ומי בדק לשוסטר ואמר לו "תקשיב, </w:t>
      </w:r>
      <w:bookmarkStart w:id="14" w:name="_ETM_Q_548148"/>
      <w:bookmarkEnd w:id="14"/>
      <w:r>
        <w:rPr>
          <w:rFonts w:cs="David"/>
          <w:sz w:val="24"/>
          <w:szCs w:val="24"/>
          <w:u w:val="none"/>
          <w:rtl/>
        </w:rPr>
        <w:t xml:space="preserve">תעצור רגע. יכול להיות שאם אתה עובר לקרן פנסיה ומחר </w:t>
      </w:r>
      <w:bookmarkStart w:id="15" w:name="_ETM_Q_552558"/>
      <w:bookmarkEnd w:id="15"/>
      <w:r>
        <w:rPr>
          <w:rFonts w:cs="David"/>
          <w:sz w:val="24"/>
          <w:szCs w:val="24"/>
          <w:u w:val="none"/>
          <w:rtl/>
        </w:rPr>
        <w:t>תהיה באובדן כושר עבודה לא תקבל גרוש"?</w:t>
      </w:r>
    </w:p>
    <w:p w:rsidR="00DE1DD0" w:rsidRDefault="00DE1DD0" w:rsidP="00081E3B">
      <w:pPr>
        <w:pStyle w:val="10"/>
        <w:shd w:val="clear" w:color="auto" w:fill="auto"/>
        <w:tabs>
          <w:tab w:val="left" w:pos="3202"/>
        </w:tabs>
        <w:spacing w:line="360" w:lineRule="auto"/>
        <w:ind w:left="2777" w:hanging="1843"/>
        <w:jc w:val="both"/>
        <w:rPr>
          <w:rFonts w:cs="David"/>
          <w:sz w:val="24"/>
          <w:szCs w:val="24"/>
          <w:u w:val="none"/>
        </w:rPr>
      </w:pPr>
      <w:r>
        <w:rPr>
          <w:rFonts w:cs="David"/>
          <w:sz w:val="24"/>
          <w:szCs w:val="24"/>
          <w:u w:val="none"/>
          <w:rtl/>
        </w:rPr>
        <w:t>העד, מר חייטמן:</w:t>
      </w:r>
      <w:r>
        <w:rPr>
          <w:rFonts w:cs="David"/>
          <w:sz w:val="24"/>
          <w:szCs w:val="24"/>
          <w:u w:val="none"/>
          <w:rtl/>
        </w:rPr>
        <w:tab/>
        <w:t xml:space="preserve">ומה היה קורה, קודם כל אותה </w:t>
      </w:r>
      <w:bookmarkStart w:id="16" w:name="_ETM_Q_559521"/>
      <w:bookmarkEnd w:id="16"/>
      <w:r>
        <w:rPr>
          <w:rFonts w:cs="David"/>
          <w:sz w:val="24"/>
          <w:szCs w:val="24"/>
          <w:u w:val="none"/>
          <w:rtl/>
        </w:rPr>
        <w:t>ג'ניה אקרמן דיברה על זה. אבל בוא נצא מנקודת הנחה,</w:t>
      </w:r>
    </w:p>
    <w:p w:rsidR="00DE1DD0" w:rsidRDefault="00DE1DD0" w:rsidP="00081E3B">
      <w:pPr>
        <w:pStyle w:val="10"/>
        <w:shd w:val="clear" w:color="auto" w:fill="auto"/>
        <w:tabs>
          <w:tab w:val="left" w:pos="3202"/>
        </w:tabs>
        <w:spacing w:line="360" w:lineRule="auto"/>
        <w:ind w:left="2777" w:hanging="1843"/>
        <w:jc w:val="both"/>
        <w:rPr>
          <w:rFonts w:cs="David"/>
          <w:sz w:val="24"/>
          <w:szCs w:val="24"/>
          <w:u w:val="none"/>
          <w:rtl/>
        </w:rPr>
      </w:pPr>
      <w:r>
        <w:rPr>
          <w:rFonts w:cs="David"/>
          <w:sz w:val="24"/>
          <w:szCs w:val="24"/>
          <w:u w:val="none"/>
          <w:rtl/>
        </w:rPr>
        <w:t>כב' הש' ברקאי:</w:t>
      </w:r>
      <w:r>
        <w:rPr>
          <w:rFonts w:cs="David"/>
          <w:sz w:val="24"/>
          <w:szCs w:val="24"/>
          <w:u w:val="none"/>
          <w:rtl/>
        </w:rPr>
        <w:tab/>
        <w:t>אני</w:t>
      </w:r>
      <w:bookmarkStart w:id="17" w:name="_ETM_Q_563909"/>
      <w:bookmarkEnd w:id="17"/>
      <w:r>
        <w:rPr>
          <w:rFonts w:cs="David"/>
          <w:sz w:val="24"/>
          <w:szCs w:val="24"/>
          <w:u w:val="none"/>
          <w:rtl/>
        </w:rPr>
        <w:t xml:space="preserve"> אצטרך, אני מאמין לך, אבל חוץ מאמון אין לי כלום </w:t>
      </w:r>
      <w:bookmarkStart w:id="18" w:name="_ETM_Q_567554"/>
      <w:bookmarkEnd w:id="18"/>
      <w:r>
        <w:rPr>
          <w:rFonts w:cs="David"/>
          <w:sz w:val="24"/>
          <w:szCs w:val="24"/>
          <w:u w:val="none"/>
          <w:rtl/>
        </w:rPr>
        <w:t>כי היא לא נמצאת כאן.</w:t>
      </w:r>
    </w:p>
    <w:p w:rsidR="00DE1DD0" w:rsidRDefault="00DE1DD0" w:rsidP="00081E3B">
      <w:pPr>
        <w:pStyle w:val="10"/>
        <w:shd w:val="clear" w:color="auto" w:fill="auto"/>
        <w:tabs>
          <w:tab w:val="left" w:pos="3202"/>
        </w:tabs>
        <w:spacing w:line="360" w:lineRule="auto"/>
        <w:ind w:left="2777" w:hanging="1843"/>
        <w:jc w:val="both"/>
        <w:rPr>
          <w:rFonts w:cs="David"/>
          <w:sz w:val="24"/>
          <w:szCs w:val="24"/>
          <w:u w:val="none"/>
          <w:rtl/>
        </w:rPr>
      </w:pPr>
      <w:r>
        <w:rPr>
          <w:rFonts w:cs="David"/>
          <w:sz w:val="24"/>
          <w:szCs w:val="24"/>
          <w:u w:val="none"/>
          <w:rtl/>
        </w:rPr>
        <w:t>העד, מר חייטמן:</w:t>
      </w:r>
      <w:r>
        <w:rPr>
          <w:rFonts w:cs="David"/>
          <w:sz w:val="24"/>
          <w:szCs w:val="24"/>
          <w:u w:val="none"/>
          <w:rtl/>
        </w:rPr>
        <w:tab/>
        <w:t xml:space="preserve">אפשר תצהיר, אנחנו יכולים להעביר את </w:t>
      </w:r>
      <w:bookmarkStart w:id="19" w:name="_ETM_Q_568537"/>
      <w:bookmarkEnd w:id="19"/>
      <w:r>
        <w:rPr>
          <w:rFonts w:cs="David"/>
          <w:sz w:val="24"/>
          <w:szCs w:val="24"/>
          <w:u w:val="none"/>
          <w:rtl/>
        </w:rPr>
        <w:t xml:space="preserve">זה. אבל בוא נלך, יש מצב של מר שוסטר חלילה </w:t>
      </w:r>
      <w:bookmarkStart w:id="20" w:name="_ETM_Q_575065"/>
      <w:bookmarkEnd w:id="20"/>
      <w:r>
        <w:rPr>
          <w:rFonts w:cs="David"/>
          <w:sz w:val="24"/>
          <w:szCs w:val="24"/>
          <w:u w:val="none"/>
          <w:rtl/>
        </w:rPr>
        <w:t xml:space="preserve">יהיה אובדן כושר עבודה מסיבה אחרת, מסיבה אחרת, לא ממה שהיה </w:t>
      </w:r>
      <w:bookmarkStart w:id="21" w:name="_ETM_Q_580658"/>
      <w:bookmarkEnd w:id="21"/>
      <w:r>
        <w:rPr>
          <w:rFonts w:cs="David"/>
          <w:sz w:val="24"/>
          <w:szCs w:val="24"/>
          <w:u w:val="none"/>
          <w:rtl/>
        </w:rPr>
        <w:t>לו קודם. הוא היה מקבל פיצוי חודשי של 75 אחוז</w:t>
      </w:r>
      <w:bookmarkStart w:id="22" w:name="_ETM_Q_584501"/>
      <w:bookmarkEnd w:id="22"/>
      <w:r>
        <w:rPr>
          <w:rFonts w:cs="David"/>
          <w:sz w:val="24"/>
          <w:szCs w:val="24"/>
          <w:u w:val="none"/>
          <w:rtl/>
        </w:rPr>
        <w:t xml:space="preserve"> ולא 15.</w:t>
      </w:r>
    </w:p>
    <w:p w:rsidR="00DE1DD0" w:rsidRDefault="00DE1DD0" w:rsidP="00DE1DD0">
      <w:pPr>
        <w:pStyle w:val="ad"/>
        <w:spacing w:line="360" w:lineRule="auto"/>
        <w:ind w:left="566"/>
        <w:jc w:val="both"/>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ולבסוף אמר/שאל מנכ"ל הנתבעת (ע"מ 69 שורות 1-2, ההדגשות לא במקור):</w:t>
      </w:r>
    </w:p>
    <w:p w:rsidR="00DE1DD0" w:rsidRDefault="00DE1DD0" w:rsidP="00081E3B">
      <w:pPr>
        <w:pStyle w:val="10"/>
        <w:shd w:val="clear" w:color="auto" w:fill="auto"/>
        <w:tabs>
          <w:tab w:val="left" w:pos="3202"/>
        </w:tabs>
        <w:spacing w:line="360" w:lineRule="auto"/>
        <w:ind w:left="2777" w:hanging="1843"/>
        <w:jc w:val="both"/>
        <w:rPr>
          <w:rFonts w:cs="David"/>
          <w:sz w:val="24"/>
          <w:szCs w:val="24"/>
          <w:u w:val="none"/>
          <w:rtl/>
        </w:rPr>
      </w:pPr>
      <w:r>
        <w:rPr>
          <w:rFonts w:cs="David"/>
          <w:sz w:val="24"/>
          <w:szCs w:val="24"/>
          <w:u w:val="none"/>
          <w:rtl/>
        </w:rPr>
        <w:t>העד, מר חייטמן:</w:t>
      </w:r>
      <w:r>
        <w:rPr>
          <w:rFonts w:cs="David"/>
          <w:sz w:val="24"/>
          <w:szCs w:val="24"/>
          <w:u w:val="none"/>
          <w:rtl/>
        </w:rPr>
        <w:tab/>
        <w:t>למעבר. בבקשה,</w:t>
      </w:r>
      <w:bookmarkStart w:id="23" w:name="_ETM_Q_617100"/>
      <w:bookmarkEnd w:id="23"/>
      <w:r>
        <w:rPr>
          <w:rFonts w:cs="David"/>
          <w:sz w:val="24"/>
          <w:szCs w:val="24"/>
          <w:u w:val="none"/>
          <w:rtl/>
        </w:rPr>
        <w:t xml:space="preserve"> </w:t>
      </w:r>
      <w:r>
        <w:rPr>
          <w:rFonts w:cs="David"/>
          <w:sz w:val="24"/>
          <w:szCs w:val="24"/>
          <w:rtl/>
        </w:rPr>
        <w:t>יש מעסיק שהוא אומר שיש הסכמה של העובדים. אז מעסיק</w:t>
      </w:r>
      <w:bookmarkStart w:id="24" w:name="_ETM_Q_621930"/>
      <w:bookmarkEnd w:id="24"/>
      <w:r>
        <w:rPr>
          <w:rFonts w:cs="David"/>
          <w:sz w:val="24"/>
          <w:szCs w:val="24"/>
          <w:rtl/>
        </w:rPr>
        <w:t xml:space="preserve"> שיקר</w:t>
      </w:r>
      <w:r>
        <w:rPr>
          <w:rFonts w:cs="David"/>
          <w:sz w:val="24"/>
          <w:szCs w:val="24"/>
          <w:u w:val="none"/>
          <w:rtl/>
        </w:rPr>
        <w:t>?</w:t>
      </w:r>
    </w:p>
    <w:p w:rsidR="00DE1DD0" w:rsidRDefault="00DE1DD0" w:rsidP="00DE1DD0">
      <w:pPr>
        <w:pStyle w:val="ad"/>
        <w:rPr>
          <w:rFonts w:ascii="David" w:hAnsi="David" w:cs="David"/>
          <w:sz w:val="24"/>
          <w:szCs w:val="24"/>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במלוא הכבוד, בעל המקצוע באשר לכיסוי הביטוחי הוא לא המעסיק אלא סוכן הביטוח. על שיקוליו של המעסיק ועל כך שביקש לחסוך בהוצאות הביטוח למדים דווקא מדברי מנכ"ל הנתבעת אשר תיאר שכל אשר עמד לנגד עיני המעסיק הוא הפחתת עלויות הפרמיה. מנכ"ל הנתבעת נשא דברים שהתפרשו כתשובה לשאלה על פני למעלה מ-25 שורות, והודה בין היתר כך (הציטוט מדברי מנכ"ל הנתבעת בע"מ 66-67, ההדגשות לא במקור):</w:t>
      </w:r>
    </w:p>
    <w:p w:rsidR="00DE1DD0" w:rsidRDefault="00DE1DD0" w:rsidP="001143EA">
      <w:pPr>
        <w:pStyle w:val="10"/>
        <w:shd w:val="clear" w:color="auto" w:fill="auto"/>
        <w:tabs>
          <w:tab w:val="left" w:pos="3202"/>
        </w:tabs>
        <w:spacing w:line="360" w:lineRule="auto"/>
        <w:ind w:left="2777" w:hanging="1843"/>
        <w:jc w:val="both"/>
        <w:rPr>
          <w:rFonts w:cs="David"/>
          <w:sz w:val="24"/>
          <w:szCs w:val="24"/>
          <w:u w:val="none"/>
          <w:rtl/>
        </w:rPr>
      </w:pPr>
      <w:r>
        <w:rPr>
          <w:rFonts w:cs="David"/>
          <w:sz w:val="24"/>
          <w:szCs w:val="24"/>
          <w:u w:val="none"/>
          <w:rtl/>
        </w:rPr>
        <w:t>העד, מר חייטמן:</w:t>
      </w:r>
      <w:r>
        <w:rPr>
          <w:rFonts w:cs="David"/>
          <w:sz w:val="24"/>
          <w:szCs w:val="24"/>
          <w:u w:val="none"/>
          <w:rtl/>
        </w:rPr>
        <w:tab/>
        <w:t xml:space="preserve">... </w:t>
      </w:r>
    </w:p>
    <w:p w:rsidR="00DE1DD0" w:rsidRDefault="00DE1DD0" w:rsidP="00081E3B">
      <w:pPr>
        <w:pStyle w:val="10"/>
        <w:shd w:val="clear" w:color="auto" w:fill="auto"/>
        <w:spacing w:line="360" w:lineRule="auto"/>
        <w:ind w:left="2777" w:firstLine="0"/>
        <w:jc w:val="both"/>
        <w:rPr>
          <w:rFonts w:cs="David"/>
          <w:b w:val="0"/>
          <w:bCs w:val="0"/>
          <w:sz w:val="24"/>
          <w:szCs w:val="24"/>
          <w:u w:val="none"/>
          <w:rtl/>
        </w:rPr>
      </w:pPr>
      <w:r>
        <w:rPr>
          <w:rFonts w:cs="David"/>
          <w:sz w:val="24"/>
          <w:szCs w:val="24"/>
          <w:u w:val="none"/>
          <w:rtl/>
        </w:rPr>
        <w:t>אנחנו ישבנו עם מעסיק סולמות חגית ו</w:t>
      </w:r>
      <w:r>
        <w:rPr>
          <w:rFonts w:cs="David"/>
          <w:sz w:val="24"/>
          <w:szCs w:val="24"/>
          <w:rtl/>
        </w:rPr>
        <w:t xml:space="preserve">סולמות חגית אמרו </w:t>
      </w:r>
      <w:bookmarkStart w:id="25" w:name="_ETM_Q_295596"/>
      <w:bookmarkEnd w:id="25"/>
      <w:r>
        <w:rPr>
          <w:rFonts w:cs="David"/>
          <w:sz w:val="24"/>
          <w:szCs w:val="24"/>
          <w:rtl/>
        </w:rPr>
        <w:t>"קודם כל אנחנו לא מוכנים לשלם יותר מחמישה אחוז לתגמולים</w:t>
      </w:r>
      <w:bookmarkStart w:id="26" w:name="_ETM_Q_301207"/>
      <w:bookmarkEnd w:id="26"/>
      <w:r>
        <w:rPr>
          <w:rFonts w:cs="David"/>
          <w:sz w:val="24"/>
          <w:szCs w:val="24"/>
          <w:rtl/>
        </w:rPr>
        <w:t xml:space="preserve"> ולא מוכנים לשלם לאובדן כושר עבודה</w:t>
      </w:r>
      <w:r>
        <w:rPr>
          <w:rFonts w:cs="David"/>
          <w:sz w:val="24"/>
          <w:szCs w:val="24"/>
          <w:u w:val="none"/>
          <w:rtl/>
        </w:rPr>
        <w:t xml:space="preserve">". מה שהתובע אמר שחייבו אותו בתלוש </w:t>
      </w:r>
      <w:bookmarkStart w:id="27" w:name="_ETM_Q_306452"/>
      <w:bookmarkEnd w:id="27"/>
      <w:r>
        <w:rPr>
          <w:rFonts w:cs="David"/>
          <w:sz w:val="24"/>
          <w:szCs w:val="24"/>
          <w:u w:val="none"/>
          <w:rtl/>
        </w:rPr>
        <w:t xml:space="preserve">משכורת על אובדן כושר עבודה זה קשקוש, זה פשוט לא נכון... ומי ששילם לאובדן כושר עבודה זה מעסיק... עכשיו מעסיק אמר "תשמעו רבותיי, אני חייב לשלם חמישה </w:t>
      </w:r>
      <w:bookmarkStart w:id="28" w:name="_ETM_Q_347298"/>
      <w:bookmarkEnd w:id="28"/>
      <w:r>
        <w:rPr>
          <w:rFonts w:cs="David"/>
          <w:sz w:val="24"/>
          <w:szCs w:val="24"/>
          <w:u w:val="none"/>
          <w:rtl/>
        </w:rPr>
        <w:t>אחוז.</w:t>
      </w:r>
      <w:r>
        <w:rPr>
          <w:rFonts w:cs="David"/>
          <w:sz w:val="24"/>
          <w:szCs w:val="24"/>
          <w:rtl/>
        </w:rPr>
        <w:t xml:space="preserve"> כל הנושא של אובדן כושר עבודה</w:t>
      </w:r>
      <w:r>
        <w:rPr>
          <w:rFonts w:cs="David"/>
          <w:sz w:val="24"/>
          <w:szCs w:val="24"/>
          <w:u w:val="none"/>
          <w:rtl/>
        </w:rPr>
        <w:t xml:space="preserve"> שאני משלם פה</w:t>
      </w:r>
      <w:bookmarkStart w:id="29" w:name="_ETM_Q_352680"/>
      <w:bookmarkEnd w:id="29"/>
      <w:r>
        <w:rPr>
          <w:rFonts w:cs="David"/>
          <w:sz w:val="24"/>
          <w:szCs w:val="24"/>
          <w:u w:val="none"/>
          <w:rtl/>
        </w:rPr>
        <w:t xml:space="preserve"> סכומים שילכו ויגדלו </w:t>
      </w:r>
      <w:r>
        <w:rPr>
          <w:rFonts w:cs="David"/>
          <w:sz w:val="24"/>
          <w:szCs w:val="24"/>
          <w:rtl/>
        </w:rPr>
        <w:t xml:space="preserve">אני לא מוכן לשלם ולכן אני רוצה </w:t>
      </w:r>
      <w:bookmarkStart w:id="30" w:name="_ETM_Q_355766"/>
      <w:bookmarkEnd w:id="30"/>
      <w:r>
        <w:rPr>
          <w:rFonts w:cs="David"/>
          <w:sz w:val="24"/>
          <w:szCs w:val="24"/>
          <w:rtl/>
        </w:rPr>
        <w:t>לעבור לקרן פנסיה...</w:t>
      </w:r>
      <w:r>
        <w:rPr>
          <w:rFonts w:cs="David"/>
          <w:sz w:val="24"/>
          <w:szCs w:val="24"/>
          <w:u w:val="none"/>
          <w:rtl/>
        </w:rPr>
        <w:t>"</w:t>
      </w:r>
      <w:r>
        <w:rPr>
          <w:rFonts w:cs="David"/>
          <w:b w:val="0"/>
          <w:bCs w:val="0"/>
          <w:sz w:val="24"/>
          <w:szCs w:val="24"/>
          <w:u w:val="none"/>
          <w:rtl/>
        </w:rPr>
        <w:t xml:space="preserve"> </w:t>
      </w:r>
    </w:p>
    <w:p w:rsidR="00DE1DD0" w:rsidRDefault="00DE1DD0" w:rsidP="00DE1DD0">
      <w:pPr>
        <w:pStyle w:val="ad"/>
        <w:spacing w:line="360" w:lineRule="auto"/>
        <w:ind w:left="566"/>
        <w:jc w:val="both"/>
        <w:rPr>
          <w:rFonts w:ascii="David" w:hAnsi="David" w:cs="David"/>
          <w:sz w:val="24"/>
          <w:szCs w:val="24"/>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 xml:space="preserve">העדות הגונה ותוכנה מטריד. מנכ"ל הנתבעת מבהיר, באופן חד משמעי, שמה שעמד לנגד עיניו הוא רצונו של המעסיק להפחית בעלויות ולשלם פחות. ומי שמר על זכויותיו של התובע? תיאור העובדות כפי שהובא על ידי מנכ"ל הנתבעת עצמו, מלמד שביקש לרצות אך ורק את המעסיק שכן כלשונו – </w:t>
      </w:r>
      <w:r>
        <w:rPr>
          <w:rFonts w:ascii="David" w:hAnsi="David" w:cs="David"/>
          <w:b/>
          <w:bCs/>
          <w:sz w:val="24"/>
          <w:szCs w:val="24"/>
          <w:rtl/>
        </w:rPr>
        <w:t>"</w:t>
      </w:r>
      <w:r>
        <w:rPr>
          <w:rFonts w:cs="David"/>
          <w:b/>
          <w:bCs/>
          <w:sz w:val="24"/>
          <w:szCs w:val="24"/>
          <w:rtl/>
        </w:rPr>
        <w:t>ומי ששילם לאובדן כושר עבודה זה מעסיק"</w:t>
      </w:r>
      <w:r>
        <w:rPr>
          <w:rFonts w:ascii="David" w:hAnsi="David" w:cs="David"/>
          <w:b/>
          <w:bCs/>
          <w:sz w:val="24"/>
          <w:szCs w:val="24"/>
          <w:rtl/>
        </w:rPr>
        <w:t xml:space="preserve">. </w:t>
      </w:r>
      <w:r>
        <w:rPr>
          <w:rFonts w:ascii="David" w:hAnsi="David" w:cs="David"/>
          <w:sz w:val="24"/>
          <w:szCs w:val="24"/>
          <w:rtl/>
        </w:rPr>
        <w:t xml:space="preserve"> </w:t>
      </w:r>
    </w:p>
    <w:p w:rsidR="00DE1DD0" w:rsidRDefault="00DE1DD0" w:rsidP="00DE1DD0">
      <w:pPr>
        <w:pStyle w:val="ad"/>
        <w:rPr>
          <w:rFonts w:ascii="David" w:hAnsi="David" w:cs="David"/>
          <w:sz w:val="24"/>
          <w:szCs w:val="24"/>
          <w:rtl/>
        </w:rPr>
      </w:pPr>
    </w:p>
    <w:p w:rsidR="00DE1DD0" w:rsidRDefault="00DE1DD0" w:rsidP="00DE1DD0">
      <w:pPr>
        <w:pStyle w:val="ad"/>
        <w:numPr>
          <w:ilvl w:val="1"/>
          <w:numId w:val="1"/>
        </w:numPr>
        <w:spacing w:line="360" w:lineRule="auto"/>
        <w:ind w:left="566" w:hanging="708"/>
        <w:jc w:val="both"/>
        <w:rPr>
          <w:rFonts w:ascii="David" w:hAnsi="David" w:cs="David"/>
          <w:sz w:val="24"/>
          <w:szCs w:val="24"/>
          <w:rtl/>
        </w:rPr>
      </w:pPr>
      <w:r>
        <w:rPr>
          <w:rFonts w:ascii="David" w:hAnsi="David" w:cs="David"/>
          <w:sz w:val="24"/>
          <w:szCs w:val="24"/>
          <w:rtl/>
        </w:rPr>
        <w:t>מנכ"ל הנתבעת המשיך להסיר מעצמו כל אחריות, והפנה לאותה "ג'ניה" אשר "יכול להיות" כלשונו, שידעה אודות מצבו של התובע. וכך נשאל והשיב מנכ"ל הנתבעת (ע"מ 69, שורות 28-30, ההדגשות לא במקור):</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האם אתה ידעת במועד המעבר שהתובע עבר אירוע לבבי</w:t>
      </w:r>
      <w:bookmarkStart w:id="31" w:name="_ETM_Q_676523"/>
      <w:bookmarkEnd w:id="31"/>
      <w:r>
        <w:rPr>
          <w:rFonts w:cs="David"/>
          <w:sz w:val="24"/>
          <w:szCs w:val="24"/>
          <w:u w:val="none"/>
          <w:rtl/>
        </w:rPr>
        <w:t xml:space="preserve"> בשנת 2005, כן או לא?</w:t>
      </w:r>
    </w:p>
    <w:p w:rsidR="00DE1DD0" w:rsidRDefault="00DE1DD0" w:rsidP="00DE1DD0">
      <w:pPr>
        <w:pStyle w:val="10"/>
        <w:shd w:val="clear" w:color="auto" w:fill="auto"/>
        <w:spacing w:line="360" w:lineRule="auto"/>
        <w:ind w:left="3401" w:hanging="1792"/>
        <w:jc w:val="both"/>
        <w:rPr>
          <w:rFonts w:cs="David"/>
          <w:sz w:val="24"/>
          <w:szCs w:val="24"/>
          <w:u w:val="none"/>
        </w:rPr>
      </w:pPr>
      <w:r>
        <w:rPr>
          <w:rFonts w:cs="David"/>
          <w:sz w:val="24"/>
          <w:szCs w:val="24"/>
          <w:u w:val="none"/>
          <w:rtl/>
        </w:rPr>
        <w:t>העד, מר חייטמן:</w:t>
      </w:r>
      <w:r>
        <w:rPr>
          <w:rFonts w:cs="David"/>
          <w:sz w:val="24"/>
          <w:szCs w:val="24"/>
          <w:u w:val="none"/>
          <w:rtl/>
        </w:rPr>
        <w:tab/>
        <w:t xml:space="preserve">אירוע לבבי אני לא ידעתי. אבל </w:t>
      </w:r>
      <w:bookmarkStart w:id="32" w:name="_ETM_Q_680111"/>
      <w:bookmarkEnd w:id="32"/>
      <w:r>
        <w:rPr>
          <w:rFonts w:cs="David"/>
          <w:sz w:val="24"/>
          <w:szCs w:val="24"/>
          <w:rtl/>
        </w:rPr>
        <w:t>יכול להיות שג'ניה אקרמן ידעה</w:t>
      </w:r>
      <w:r>
        <w:rPr>
          <w:rFonts w:cs="David"/>
          <w:sz w:val="24"/>
          <w:szCs w:val="24"/>
          <w:u w:val="none"/>
          <w:rtl/>
        </w:rPr>
        <w:t>.</w:t>
      </w:r>
    </w:p>
    <w:p w:rsidR="00DE1DD0" w:rsidRDefault="00DE1DD0" w:rsidP="00DE1DD0">
      <w:pPr>
        <w:pStyle w:val="10"/>
        <w:shd w:val="clear" w:color="auto" w:fill="auto"/>
        <w:spacing w:line="360" w:lineRule="auto"/>
        <w:ind w:left="3401" w:hanging="1792"/>
        <w:jc w:val="both"/>
        <w:rPr>
          <w:rFonts w:cs="David"/>
          <w:sz w:val="24"/>
          <w:szCs w:val="24"/>
          <w:u w:val="none"/>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ועוד נשאל מנכ"ל הנתבעת, והפנה ל"הסכמה בעל פה" נטענת של התובע. הסכמה בעל פה שהיתה בפגישה עם המעסיק. כלומר - לא היה ייעוץ, לא היתה הערכה אישית של צרכי הביטוח, לא היה דבר. וכלשונו של מנכ"ל הנתבעת (ע"מ 78, ש' 15-26, ההדגשות לא במקור):</w:t>
      </w:r>
    </w:p>
    <w:p w:rsidR="00DE1DD0" w:rsidRDefault="00DE1DD0" w:rsidP="00DE1DD0">
      <w:pPr>
        <w:pStyle w:val="ad"/>
        <w:rPr>
          <w:rFonts w:ascii="David" w:hAnsi="David" w:cs="David"/>
          <w:b/>
          <w:bCs/>
          <w:sz w:val="24"/>
          <w:szCs w:val="24"/>
          <w:rtl/>
        </w:rPr>
      </w:pP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r>
      <w:r>
        <w:rPr>
          <w:rFonts w:cs="David"/>
          <w:sz w:val="24"/>
          <w:szCs w:val="24"/>
          <w:rtl/>
        </w:rPr>
        <w:t xml:space="preserve">ואתה יודע שאסור להעביר בשום פנים </w:t>
      </w:r>
      <w:bookmarkStart w:id="33" w:name="_ETM_Q_1528729"/>
      <w:bookmarkEnd w:id="33"/>
      <w:r>
        <w:rPr>
          <w:rFonts w:cs="David"/>
          <w:sz w:val="24"/>
          <w:szCs w:val="24"/>
          <w:rtl/>
        </w:rPr>
        <w:t>ואופן, סדין שחור, אדם עם מחלת לב לא מעבירים, נקודה</w:t>
      </w:r>
      <w:r>
        <w:rPr>
          <w:rFonts w:cs="David"/>
          <w:sz w:val="24"/>
          <w:szCs w:val="24"/>
          <w:u w:val="none"/>
          <w:rtl/>
        </w:rPr>
        <w:t>.</w:t>
      </w:r>
      <w:bookmarkStart w:id="34" w:name="_ETM_Q_1533549"/>
      <w:bookmarkEnd w:id="34"/>
    </w:p>
    <w:p w:rsidR="00DE1DD0" w:rsidRDefault="00DE1DD0" w:rsidP="00DE1DD0">
      <w:pPr>
        <w:pStyle w:val="10"/>
        <w:shd w:val="clear" w:color="auto" w:fill="auto"/>
        <w:spacing w:line="360" w:lineRule="auto"/>
        <w:ind w:left="3401" w:hanging="1792"/>
        <w:jc w:val="both"/>
        <w:rPr>
          <w:rFonts w:cs="David"/>
          <w:sz w:val="24"/>
          <w:szCs w:val="24"/>
          <w:u w:val="none"/>
        </w:rPr>
      </w:pPr>
      <w:r>
        <w:rPr>
          <w:rFonts w:cs="David"/>
          <w:sz w:val="24"/>
          <w:szCs w:val="24"/>
          <w:u w:val="none"/>
          <w:rtl/>
        </w:rPr>
        <w:t>כב' הש' ברקאי:</w:t>
      </w:r>
      <w:r>
        <w:rPr>
          <w:rFonts w:cs="David"/>
          <w:sz w:val="24"/>
          <w:szCs w:val="24"/>
          <w:u w:val="none"/>
          <w:rtl/>
        </w:rPr>
        <w:tab/>
        <w:t xml:space="preserve">טוב, </w:t>
      </w:r>
      <w:bookmarkStart w:id="35" w:name="_ETM_Q_1534145"/>
      <w:bookmarkEnd w:id="35"/>
      <w:r>
        <w:rPr>
          <w:rFonts w:cs="David"/>
          <w:sz w:val="24"/>
          <w:szCs w:val="24"/>
          <w:u w:val="none"/>
          <w:rtl/>
        </w:rPr>
        <w:t>מה התחלת להגיד?</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t>בתנאי שהוא הסכים, זה לא נכון.</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בתנאי ש-?</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r>
      <w:r>
        <w:rPr>
          <w:rFonts w:cs="David"/>
          <w:sz w:val="24"/>
          <w:szCs w:val="24"/>
          <w:rtl/>
        </w:rPr>
        <w:t>הוא הסכים, הוא הסכים לזה</w:t>
      </w:r>
      <w:r>
        <w:rPr>
          <w:rFonts w:cs="David"/>
          <w:sz w:val="24"/>
          <w:szCs w:val="24"/>
          <w:u w:val="none"/>
          <w:rtl/>
        </w:rPr>
        <w:t>.</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 xml:space="preserve">איפה הוא הסכים? </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t>איפה הוא הסכים?</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כן איפה?</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t xml:space="preserve">באותה ישיבה </w:t>
      </w:r>
      <w:bookmarkStart w:id="36" w:name="_ETM_Q_1541341"/>
      <w:bookmarkEnd w:id="36"/>
      <w:r>
        <w:rPr>
          <w:rFonts w:cs="David"/>
          <w:sz w:val="24"/>
          <w:szCs w:val="24"/>
          <w:u w:val="none"/>
          <w:rtl/>
        </w:rPr>
        <w:t>שהייתה, יש אנשים (מדברים ביחד),</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הסכים בעל פה?</w:t>
      </w:r>
    </w:p>
    <w:p w:rsidR="00DE1DD0" w:rsidRDefault="00DE1DD0" w:rsidP="00DE1DD0">
      <w:pPr>
        <w:pStyle w:val="10"/>
        <w:shd w:val="clear" w:color="auto" w:fill="auto"/>
        <w:spacing w:line="360" w:lineRule="auto"/>
        <w:ind w:left="3401" w:hanging="1792"/>
        <w:jc w:val="both"/>
        <w:rPr>
          <w:rFonts w:cs="David"/>
          <w:b w:val="0"/>
          <w:bCs w:val="0"/>
          <w:sz w:val="24"/>
          <w:szCs w:val="24"/>
          <w:u w:val="none"/>
          <w:rtl/>
        </w:rPr>
      </w:pPr>
      <w:r>
        <w:rPr>
          <w:rFonts w:cs="David"/>
          <w:sz w:val="24"/>
          <w:szCs w:val="24"/>
          <w:u w:val="none"/>
          <w:rtl/>
        </w:rPr>
        <w:t>העד, מר חייטמן:</w:t>
      </w:r>
      <w:r>
        <w:rPr>
          <w:rFonts w:cs="David"/>
          <w:sz w:val="24"/>
          <w:szCs w:val="24"/>
          <w:u w:val="none"/>
          <w:rtl/>
        </w:rPr>
        <w:tab/>
      </w:r>
      <w:r>
        <w:rPr>
          <w:rFonts w:cs="David"/>
          <w:sz w:val="24"/>
          <w:szCs w:val="24"/>
          <w:rtl/>
        </w:rPr>
        <w:t xml:space="preserve">הסכים בעל פה שהיה מעסיק </w:t>
      </w:r>
      <w:bookmarkStart w:id="37" w:name="_ETM_Q_1546541"/>
      <w:bookmarkEnd w:id="37"/>
      <w:r>
        <w:rPr>
          <w:rFonts w:cs="David"/>
          <w:sz w:val="24"/>
          <w:szCs w:val="24"/>
          <w:rtl/>
        </w:rPr>
        <w:t>באותו מעמד</w:t>
      </w:r>
      <w:r>
        <w:rPr>
          <w:rFonts w:cs="David"/>
          <w:sz w:val="24"/>
          <w:szCs w:val="24"/>
          <w:u w:val="none"/>
          <w:rtl/>
        </w:rPr>
        <w:t>,</w:t>
      </w:r>
    </w:p>
    <w:p w:rsidR="00DE1DD0" w:rsidRDefault="00DE1DD0" w:rsidP="00DE1DD0">
      <w:pPr>
        <w:pStyle w:val="ad"/>
        <w:rPr>
          <w:rFonts w:ascii="David" w:hAnsi="David" w:cs="David"/>
          <w:b/>
          <w:bCs/>
          <w:sz w:val="24"/>
          <w:szCs w:val="24"/>
          <w:rtl/>
        </w:rPr>
      </w:pPr>
    </w:p>
    <w:p w:rsidR="00DE1DD0" w:rsidRDefault="00DE1DD0" w:rsidP="00DE1DD0">
      <w:pPr>
        <w:pStyle w:val="ad"/>
        <w:rPr>
          <w:rFonts w:ascii="David" w:hAnsi="David" w:cs="David"/>
          <w:b/>
          <w:bCs/>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hint="cs"/>
          <w:sz w:val="24"/>
          <w:szCs w:val="24"/>
          <w:rtl/>
        </w:rPr>
        <w:t>אך בהמשך, ובניגוד לטענות הנתבעת</w:t>
      </w:r>
      <w:r w:rsidR="00081E3B">
        <w:rPr>
          <w:rFonts w:ascii="David" w:hAnsi="David" w:cs="David" w:hint="cs"/>
          <w:sz w:val="24"/>
          <w:szCs w:val="24"/>
          <w:rtl/>
        </w:rPr>
        <w:t xml:space="preserve"> בדבר הסכמה</w:t>
      </w:r>
      <w:r>
        <w:rPr>
          <w:rFonts w:ascii="David" w:hAnsi="David" w:cs="David" w:hint="cs"/>
          <w:sz w:val="24"/>
          <w:szCs w:val="24"/>
          <w:rtl/>
        </w:rPr>
        <w:t xml:space="preserve">, וכאשר ברור שהתובע לא הסכים להרעת תנאיו - </w:t>
      </w:r>
      <w:r>
        <w:rPr>
          <w:rFonts w:ascii="David" w:hAnsi="David" w:cs="David"/>
          <w:sz w:val="24"/>
          <w:szCs w:val="24"/>
          <w:u w:val="single"/>
          <w:rtl/>
        </w:rPr>
        <w:t>הודה מנכ"ל הנתבעת שכלל לא היתה פגישת ייעוץ</w:t>
      </w:r>
      <w:r>
        <w:rPr>
          <w:rFonts w:ascii="David" w:hAnsi="David" w:cs="David"/>
          <w:sz w:val="24"/>
          <w:szCs w:val="24"/>
          <w:rtl/>
        </w:rPr>
        <w:t xml:space="preserve"> עם התובע וכלשונו (ע"מ 70, ש' 7-10, ההדגשות לא במקור):</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lastRenderedPageBreak/>
        <w:t>העד, מר חייטמן:</w:t>
      </w:r>
      <w:r>
        <w:rPr>
          <w:rFonts w:cs="David"/>
          <w:sz w:val="24"/>
          <w:szCs w:val="24"/>
          <w:u w:val="none"/>
          <w:rtl/>
        </w:rPr>
        <w:tab/>
      </w:r>
      <w:r>
        <w:rPr>
          <w:rFonts w:cs="David"/>
          <w:sz w:val="24"/>
          <w:szCs w:val="24"/>
          <w:rtl/>
        </w:rPr>
        <w:t>לא הייתה פגישת ייעוץ</w:t>
      </w:r>
      <w:r>
        <w:rPr>
          <w:rFonts w:cs="David"/>
          <w:sz w:val="24"/>
          <w:szCs w:val="24"/>
          <w:u w:val="none"/>
          <w:rtl/>
        </w:rPr>
        <w:t xml:space="preserve">, מה שאני אמרתי קודם, </w:t>
      </w:r>
      <w:r>
        <w:rPr>
          <w:rFonts w:cs="David"/>
          <w:sz w:val="24"/>
          <w:szCs w:val="24"/>
          <w:rtl/>
        </w:rPr>
        <w:t xml:space="preserve">ג'ניה אקרמן </w:t>
      </w:r>
      <w:bookmarkStart w:id="38" w:name="_ETM_Q_699863"/>
      <w:bookmarkEnd w:id="38"/>
      <w:r>
        <w:rPr>
          <w:rFonts w:cs="David"/>
          <w:sz w:val="24"/>
          <w:szCs w:val="24"/>
          <w:rtl/>
        </w:rPr>
        <w:t>נפגשה עם כל העובדים יחד עם המעסיק אורי לעדן</w:t>
      </w:r>
      <w:r>
        <w:rPr>
          <w:rFonts w:cs="David"/>
          <w:sz w:val="24"/>
          <w:szCs w:val="24"/>
          <w:u w:val="none"/>
          <w:rtl/>
        </w:rPr>
        <w:t xml:space="preserve">. </w:t>
      </w:r>
      <w:r>
        <w:rPr>
          <w:rFonts w:cs="David"/>
          <w:sz w:val="24"/>
          <w:szCs w:val="24"/>
          <w:rtl/>
        </w:rPr>
        <w:t>הסבירו</w:t>
      </w:r>
      <w:bookmarkStart w:id="39" w:name="_ETM_Q_705470"/>
      <w:bookmarkEnd w:id="39"/>
      <w:r>
        <w:rPr>
          <w:rFonts w:cs="David"/>
          <w:sz w:val="24"/>
          <w:szCs w:val="24"/>
          <w:rtl/>
        </w:rPr>
        <w:t xml:space="preserve"> את הבעיה, המעסיק אמר שהוא לא מוכן לשלם יותר מחמישה </w:t>
      </w:r>
      <w:bookmarkStart w:id="40" w:name="_ETM_Q_709071"/>
      <w:bookmarkEnd w:id="40"/>
      <w:r>
        <w:rPr>
          <w:rFonts w:cs="David"/>
          <w:sz w:val="24"/>
          <w:szCs w:val="24"/>
          <w:rtl/>
        </w:rPr>
        <w:t>אחוז לתגמולים</w:t>
      </w:r>
      <w:r>
        <w:rPr>
          <w:rFonts w:cs="David"/>
          <w:sz w:val="24"/>
          <w:szCs w:val="24"/>
          <w:u w:val="none"/>
          <w:rtl/>
        </w:rPr>
        <w:t>. הכיסויים נכון להיום הם מאוד - מאוד נמוכים ולכן יש</w:t>
      </w:r>
      <w:bookmarkStart w:id="41" w:name="_ETM_Q_714142"/>
      <w:bookmarkEnd w:id="41"/>
      <w:r>
        <w:rPr>
          <w:rFonts w:cs="David"/>
          <w:sz w:val="24"/>
          <w:szCs w:val="24"/>
          <w:u w:val="none"/>
          <w:rtl/>
        </w:rPr>
        <w:t xml:space="preserve"> להם אפשרויות (מדברים ביחד),</w:t>
      </w:r>
    </w:p>
    <w:p w:rsidR="00DE1DD0" w:rsidRDefault="00DE1DD0" w:rsidP="00DE1DD0">
      <w:pPr>
        <w:pStyle w:val="10"/>
        <w:shd w:val="clear" w:color="auto" w:fill="auto"/>
        <w:spacing w:line="360" w:lineRule="auto"/>
        <w:jc w:val="both"/>
        <w:rPr>
          <w:rFonts w:ascii="David" w:hAnsi="David" w:cs="David"/>
          <w:sz w:val="24"/>
          <w:szCs w:val="24"/>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 xml:space="preserve">כלומר – לא זו בלבד שלא היתה פגישת ייעוץ, אלא לדברי מנכ"ל הנתבעת – הוסבר לעובדים שהמעסיק </w:t>
      </w:r>
      <w:r>
        <w:rPr>
          <w:rFonts w:ascii="David" w:hAnsi="David" w:cs="David"/>
          <w:b/>
          <w:bCs/>
          <w:sz w:val="24"/>
          <w:szCs w:val="24"/>
          <w:rtl/>
        </w:rPr>
        <w:t>"לא מוכן לשלם יותר מחמישה אחוז לתגמולים"</w:t>
      </w:r>
      <w:r>
        <w:rPr>
          <w:rFonts w:ascii="David" w:hAnsi="David" w:cs="David"/>
          <w:sz w:val="24"/>
          <w:szCs w:val="24"/>
          <w:rtl/>
        </w:rPr>
        <w:t xml:space="preserve"> ומכאן הם מועברים לקרן פנסיה. הפגישה, אולי, הבהירה את עמדתו של המעסיק אך לא היה בה כל הסבר לתובע אודות הפגיעה בכיסוי הביטוחי שיקבל.</w:t>
      </w:r>
    </w:p>
    <w:p w:rsidR="00DE1DD0" w:rsidRDefault="00DE1DD0" w:rsidP="00DE1DD0">
      <w:pPr>
        <w:pStyle w:val="ad"/>
        <w:rPr>
          <w:rFonts w:ascii="David" w:hAnsi="David" w:cs="David"/>
          <w:sz w:val="24"/>
          <w:szCs w:val="24"/>
          <w:rtl/>
        </w:rPr>
      </w:pPr>
    </w:p>
    <w:p w:rsidR="00DE1DD0" w:rsidRDefault="00DE1DD0" w:rsidP="00DE1DD0">
      <w:pPr>
        <w:pStyle w:val="ad"/>
        <w:rPr>
          <w:rFonts w:ascii="David" w:hAnsi="David" w:cs="David"/>
          <w:sz w:val="24"/>
          <w:szCs w:val="24"/>
          <w:rtl/>
        </w:rPr>
      </w:pPr>
    </w:p>
    <w:p w:rsidR="00DE1DD0" w:rsidRDefault="00DE1DD0" w:rsidP="00081E3B">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 xml:space="preserve">הצהרת הנתבעת לפיה אכן לא נערכה בדיקה ולא נערך "מסמך הנמקה" ושני </w:t>
      </w:r>
      <w:r>
        <w:rPr>
          <w:rFonts w:ascii="David" w:hAnsi="David" w:cs="David" w:hint="cs"/>
          <w:b/>
          <w:bCs/>
          <w:sz w:val="24"/>
          <w:szCs w:val="24"/>
          <w:u w:val="single"/>
          <w:rtl/>
        </w:rPr>
        <w:t>ה</w:t>
      </w:r>
      <w:r>
        <w:rPr>
          <w:rFonts w:ascii="David" w:hAnsi="David" w:cs="David"/>
          <w:b/>
          <w:bCs/>
          <w:sz w:val="24"/>
          <w:szCs w:val="24"/>
          <w:u w:val="single"/>
          <w:rtl/>
        </w:rPr>
        <w:t xml:space="preserve">כשלים </w:t>
      </w:r>
      <w:r>
        <w:rPr>
          <w:rFonts w:ascii="David" w:hAnsi="David" w:cs="David" w:hint="cs"/>
          <w:b/>
          <w:bCs/>
          <w:sz w:val="24"/>
          <w:szCs w:val="24"/>
          <w:u w:val="single"/>
          <w:rtl/>
        </w:rPr>
        <w:t>ש</w:t>
      </w:r>
      <w:r>
        <w:rPr>
          <w:rFonts w:ascii="David" w:hAnsi="David" w:cs="David"/>
          <w:b/>
          <w:bCs/>
          <w:sz w:val="24"/>
          <w:szCs w:val="24"/>
          <w:u w:val="single"/>
          <w:rtl/>
        </w:rPr>
        <w:t>בהצהרה זו</w:t>
      </w:r>
    </w:p>
    <w:p w:rsidR="00DE1DD0" w:rsidRDefault="00DE1DD0" w:rsidP="00DE1DD0">
      <w:pPr>
        <w:pStyle w:val="ad"/>
        <w:spacing w:line="360" w:lineRule="auto"/>
        <w:ind w:left="566"/>
        <w:jc w:val="both"/>
        <w:rPr>
          <w:rFonts w:ascii="David" w:hAnsi="David" w:cs="David"/>
          <w:sz w:val="24"/>
          <w:szCs w:val="24"/>
        </w:rPr>
      </w:pP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b/>
          <w:bCs/>
          <w:sz w:val="24"/>
          <w:szCs w:val="24"/>
          <w:u w:val="single"/>
          <w:rtl/>
        </w:rPr>
        <w:t>הסבר באשר ל"מסמך הנמקה" והתייחסות להצהרת הנתבע</w:t>
      </w:r>
    </w:p>
    <w:p w:rsidR="00DE1DD0" w:rsidRDefault="00DE1DD0" w:rsidP="00DE1DD0">
      <w:pPr>
        <w:pStyle w:val="ad"/>
        <w:spacing w:line="360" w:lineRule="auto"/>
        <w:ind w:left="566"/>
        <w:jc w:val="both"/>
        <w:rPr>
          <w:rFonts w:ascii="David" w:hAnsi="David" w:cs="David"/>
          <w:sz w:val="24"/>
          <w:szCs w:val="24"/>
        </w:rPr>
      </w:pPr>
      <w:r>
        <w:rPr>
          <w:rFonts w:ascii="David" w:hAnsi="David" w:cs="David"/>
          <w:sz w:val="24"/>
          <w:szCs w:val="24"/>
          <w:rtl/>
        </w:rPr>
        <w:t xml:space="preserve">ביטוחי חיים וביטוחים פנסיוני מקיימים מנגנון של הוצאת "מסמך הנמקה" על ידי סוכן הביטוח. מסמך ההנמקה מפרט פתרונות המוצעים על ידי סוכן הביטוח – וזאת לאחר שנעשה בירור באשר למקבל הכיסוי הביטוחי – פרטיו, גילו, מצבו וכיו"ב. בעניינינו </w:t>
      </w:r>
      <w:r>
        <w:rPr>
          <w:rFonts w:ascii="David" w:hAnsi="David" w:cs="David"/>
          <w:sz w:val="24"/>
          <w:szCs w:val="24"/>
          <w:u w:val="single"/>
          <w:rtl/>
        </w:rPr>
        <w:t>לא נערך "מסמך הנמקה"</w:t>
      </w:r>
      <w:r>
        <w:rPr>
          <w:rFonts w:ascii="David" w:hAnsi="David" w:cs="David"/>
          <w:sz w:val="24"/>
          <w:szCs w:val="24"/>
          <w:rtl/>
        </w:rPr>
        <w:t xml:space="preserve">. הנתבעת הצהירה על כך תוך שהיא מפנה לחוזר הממונה על שוק ההון, ביטוח וחסכון מס' 2008-9-18, </w:t>
      </w:r>
      <w:r>
        <w:rPr>
          <w:rFonts w:ascii="David" w:hAnsi="David" w:cs="David"/>
          <w:sz w:val="24"/>
          <w:szCs w:val="24"/>
          <w:u w:val="single"/>
          <w:rtl/>
        </w:rPr>
        <w:t>צירוף עמיתים למוצר פנסיוני – הבהרה</w:t>
      </w:r>
      <w:r>
        <w:rPr>
          <w:rFonts w:ascii="David" w:hAnsi="David" w:cs="David"/>
          <w:sz w:val="24"/>
          <w:szCs w:val="24"/>
          <w:rtl/>
        </w:rPr>
        <w:t>.</w:t>
      </w:r>
    </w:p>
    <w:p w:rsidR="00DE1DD0" w:rsidRDefault="00DE1DD0" w:rsidP="00DE1DD0">
      <w:pPr>
        <w:pStyle w:val="ad"/>
        <w:spacing w:line="360" w:lineRule="auto"/>
        <w:ind w:left="926"/>
        <w:jc w:val="both"/>
        <w:rPr>
          <w:rFonts w:ascii="David" w:hAnsi="David" w:cs="David"/>
          <w:sz w:val="24"/>
          <w:szCs w:val="24"/>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 xml:space="preserve">וכך מפנה מנכ"ל הנתבעת להצהרה מובנית אשר מסר על גבי טופס של מנורה מבטחים ביטוח בע"מ (נספח "ג" לתצהיר מנכ"ל הנתבעת). ההצהרה מתייחסת להעברת עובדי המעסיק וכלשונו (סעיף 2) – </w:t>
      </w:r>
      <w:r>
        <w:rPr>
          <w:rFonts w:ascii="David" w:hAnsi="David" w:cs="David"/>
          <w:b/>
          <w:bCs/>
          <w:sz w:val="24"/>
          <w:szCs w:val="24"/>
          <w:rtl/>
        </w:rPr>
        <w:t>"המבוטחים המפורטים ברשימה המצורפת"</w:t>
      </w:r>
      <w:r>
        <w:rPr>
          <w:rFonts w:ascii="David" w:hAnsi="David" w:cs="David"/>
          <w:sz w:val="24"/>
          <w:szCs w:val="24"/>
          <w:rtl/>
        </w:rPr>
        <w:t xml:space="preserve">. באותה הצהרה מפנה הנתבעת בין היתר להוראות </w:t>
      </w:r>
      <w:r>
        <w:rPr>
          <w:rFonts w:ascii="David" w:hAnsi="David" w:cs="David"/>
          <w:b/>
          <w:bCs/>
          <w:sz w:val="24"/>
          <w:szCs w:val="24"/>
          <w:rtl/>
        </w:rPr>
        <w:t>"סעיף 20(ב) לחוק קופות הגמל"</w:t>
      </w:r>
      <w:r>
        <w:rPr>
          <w:rFonts w:ascii="David" w:hAnsi="David" w:cs="David"/>
          <w:sz w:val="24"/>
          <w:szCs w:val="24"/>
          <w:rtl/>
        </w:rPr>
        <w:t xml:space="preserve"> (לסעיף 20(ב) שהוזכר חשיבות כפי שיובהר בסעיף 5.2 להלן).  וכן מציינת הנתבעת כך (סעיפים 5 ו-6 ההדגשות לא במקור):</w:t>
      </w:r>
    </w:p>
    <w:p w:rsidR="00DE1DD0" w:rsidRDefault="00DE1DD0" w:rsidP="00DE1DD0">
      <w:pPr>
        <w:pStyle w:val="ad"/>
        <w:spacing w:line="360" w:lineRule="auto"/>
        <w:ind w:left="1440" w:hanging="514"/>
        <w:jc w:val="both"/>
        <w:rPr>
          <w:rFonts w:ascii="David" w:hAnsi="David" w:cs="David"/>
          <w:b/>
          <w:bCs/>
          <w:sz w:val="24"/>
          <w:szCs w:val="24"/>
          <w:rtl/>
        </w:rPr>
      </w:pPr>
      <w:r>
        <w:rPr>
          <w:rFonts w:ascii="David" w:hAnsi="David" w:cs="David"/>
          <w:sz w:val="24"/>
          <w:szCs w:val="24"/>
          <w:rtl/>
        </w:rPr>
        <w:tab/>
      </w:r>
      <w:r>
        <w:rPr>
          <w:rFonts w:ascii="David" w:hAnsi="David" w:cs="David"/>
          <w:b/>
          <w:bCs/>
          <w:sz w:val="24"/>
          <w:szCs w:val="24"/>
          <w:rtl/>
        </w:rPr>
        <w:t>"5. לאור כל האמור לעיל ו</w:t>
      </w:r>
      <w:r>
        <w:rPr>
          <w:rFonts w:ascii="David" w:hAnsi="David" w:cs="David"/>
          <w:b/>
          <w:bCs/>
          <w:sz w:val="24"/>
          <w:szCs w:val="24"/>
          <w:u w:val="single"/>
          <w:rtl/>
        </w:rPr>
        <w:t>לאחר שבחנתי ובדקתי באופן אישי</w:t>
      </w:r>
      <w:r>
        <w:rPr>
          <w:rFonts w:ascii="David" w:hAnsi="David" w:cs="David"/>
          <w:b/>
          <w:bCs/>
          <w:sz w:val="24"/>
          <w:szCs w:val="24"/>
          <w:rtl/>
        </w:rPr>
        <w:t xml:space="preserve"> את נסיבות העסקה המתוארת בהצהרתי זו, הנני מצהיר בזאת כי </w:t>
      </w:r>
      <w:r>
        <w:rPr>
          <w:rFonts w:ascii="David" w:hAnsi="David" w:cs="David"/>
          <w:b/>
          <w:bCs/>
          <w:sz w:val="24"/>
          <w:szCs w:val="24"/>
          <w:u w:val="single"/>
          <w:rtl/>
        </w:rPr>
        <w:t>אין חובה לערוך הליך של שיווק פנסיוני</w:t>
      </w:r>
      <w:r>
        <w:rPr>
          <w:rFonts w:ascii="David" w:hAnsi="David" w:cs="David"/>
          <w:b/>
          <w:bCs/>
          <w:sz w:val="24"/>
          <w:szCs w:val="24"/>
          <w:rtl/>
        </w:rPr>
        <w:t xml:space="preserve"> והוראות חוק הייעוץ לענין שיווק פנסיוני אינן חלות במקרה זה והכל כמפורט בחוזר "צירוף עמיתים למוצר פנסיוני – הבהרה" שמספרו 2008-9-13.</w:t>
      </w:r>
    </w:p>
    <w:p w:rsidR="00DE1DD0" w:rsidRDefault="00DE1DD0" w:rsidP="00DE1DD0">
      <w:pPr>
        <w:pStyle w:val="ad"/>
        <w:spacing w:line="360" w:lineRule="auto"/>
        <w:ind w:left="1440" w:hanging="514"/>
        <w:jc w:val="both"/>
        <w:rPr>
          <w:rFonts w:ascii="David" w:hAnsi="David" w:cs="David"/>
          <w:b/>
          <w:bCs/>
          <w:sz w:val="24"/>
          <w:szCs w:val="24"/>
          <w:rtl/>
        </w:rPr>
      </w:pPr>
      <w:r>
        <w:rPr>
          <w:rFonts w:ascii="David" w:hAnsi="David" w:cs="David"/>
          <w:b/>
          <w:bCs/>
          <w:sz w:val="24"/>
          <w:szCs w:val="24"/>
          <w:rtl/>
        </w:rPr>
        <w:tab/>
      </w:r>
    </w:p>
    <w:p w:rsidR="00DE1DD0" w:rsidRDefault="00DE1DD0" w:rsidP="00DE1DD0">
      <w:pPr>
        <w:pStyle w:val="ad"/>
        <w:spacing w:line="360" w:lineRule="auto"/>
        <w:ind w:left="1440" w:hanging="514"/>
        <w:jc w:val="both"/>
        <w:rPr>
          <w:rFonts w:ascii="David" w:hAnsi="David" w:cs="David"/>
          <w:b/>
          <w:bCs/>
          <w:sz w:val="24"/>
          <w:szCs w:val="24"/>
          <w:rtl/>
        </w:rPr>
      </w:pPr>
      <w:r>
        <w:rPr>
          <w:rFonts w:ascii="David" w:hAnsi="David" w:cs="David"/>
          <w:b/>
          <w:bCs/>
          <w:sz w:val="24"/>
          <w:szCs w:val="24"/>
          <w:rtl/>
        </w:rPr>
        <w:tab/>
        <w:t>6. ידוע לי כי על סמך הצהרתי זו המבוטחים יצורפו למוצר הפנסיוני ללא מסמך הנמקה"</w:t>
      </w:r>
    </w:p>
    <w:p w:rsidR="00DE1DD0" w:rsidRDefault="00DE1DD0" w:rsidP="00DE1DD0">
      <w:pPr>
        <w:pStyle w:val="ad"/>
        <w:spacing w:line="360" w:lineRule="auto"/>
        <w:ind w:left="1440" w:hanging="514"/>
        <w:jc w:val="both"/>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 xml:space="preserve">שני כשלים עיקריים בהצהרה זו. בפסקאות הבאות ארחיב באשר לכל אחד משני הכשלים העיקריים שבהצהרה זו. בשלב זה אציין את שני הכשלים – </w:t>
      </w:r>
      <w:r>
        <w:rPr>
          <w:rFonts w:ascii="David" w:hAnsi="David" w:cs="David"/>
          <w:b/>
          <w:bCs/>
          <w:sz w:val="24"/>
          <w:szCs w:val="24"/>
          <w:u w:val="single"/>
          <w:rtl/>
        </w:rPr>
        <w:t>ראשית</w:t>
      </w:r>
      <w:r>
        <w:rPr>
          <w:rFonts w:ascii="David" w:hAnsi="David" w:cs="David"/>
          <w:sz w:val="24"/>
          <w:szCs w:val="24"/>
          <w:rtl/>
        </w:rPr>
        <w:t xml:space="preserve">, המצהיר לא ערך שום בדיקה, ולא התקיימה ההצהרה לפיה "בחנתי ובדקתי באופן אישי"; </w:t>
      </w:r>
      <w:r>
        <w:rPr>
          <w:rFonts w:ascii="David" w:hAnsi="David" w:cs="David"/>
          <w:b/>
          <w:bCs/>
          <w:sz w:val="24"/>
          <w:szCs w:val="24"/>
          <w:u w:val="single"/>
          <w:rtl/>
        </w:rPr>
        <w:t>שנית</w:t>
      </w:r>
      <w:r>
        <w:rPr>
          <w:rFonts w:ascii="David" w:hAnsi="David" w:cs="David"/>
          <w:sz w:val="24"/>
          <w:szCs w:val="24"/>
          <w:rtl/>
        </w:rPr>
        <w:t xml:space="preserve">, הנתבעת התעלמה מהעובדה </w:t>
      </w:r>
      <w:r>
        <w:rPr>
          <w:rFonts w:ascii="David" w:hAnsi="David" w:cs="David"/>
          <w:sz w:val="24"/>
          <w:szCs w:val="24"/>
          <w:rtl/>
        </w:rPr>
        <w:lastRenderedPageBreak/>
        <w:t xml:space="preserve">שאין מדובר </w:t>
      </w:r>
      <w:r>
        <w:rPr>
          <w:rFonts w:ascii="David" w:hAnsi="David" w:cs="David"/>
          <w:sz w:val="24"/>
          <w:szCs w:val="24"/>
          <w:u w:val="single"/>
          <w:rtl/>
        </w:rPr>
        <w:t>בהצטרפות</w:t>
      </w:r>
      <w:r>
        <w:rPr>
          <w:rFonts w:ascii="David" w:hAnsi="David" w:cs="David"/>
          <w:sz w:val="24"/>
          <w:szCs w:val="24"/>
          <w:rtl/>
        </w:rPr>
        <w:t xml:space="preserve"> לקרן פנסיה, אלא </w:t>
      </w:r>
      <w:r>
        <w:rPr>
          <w:rFonts w:ascii="David" w:hAnsi="David" w:cs="David"/>
          <w:sz w:val="24"/>
          <w:szCs w:val="24"/>
          <w:u w:val="single"/>
          <w:rtl/>
        </w:rPr>
        <w:t>בהעברה</w:t>
      </w:r>
      <w:r>
        <w:rPr>
          <w:rFonts w:ascii="David" w:hAnsi="David" w:cs="David"/>
          <w:sz w:val="24"/>
          <w:szCs w:val="24"/>
          <w:rtl/>
        </w:rPr>
        <w:t xml:space="preserve"> של מבוטח קיים לקרן פנסיה. ובכך גם התעלמה מהוראה מפורשת של הממונה על שוק ההון. </w:t>
      </w:r>
    </w:p>
    <w:p w:rsidR="00DE1DD0" w:rsidRDefault="00DE1DD0" w:rsidP="00DE1DD0">
      <w:pPr>
        <w:pStyle w:val="ad"/>
        <w:spacing w:line="360" w:lineRule="auto"/>
        <w:ind w:left="926"/>
        <w:jc w:val="both"/>
        <w:rPr>
          <w:rFonts w:ascii="David" w:hAnsi="David" w:cs="David"/>
          <w:sz w:val="24"/>
          <w:szCs w:val="24"/>
          <w:rtl/>
        </w:rPr>
      </w:pP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b/>
          <w:bCs/>
          <w:sz w:val="24"/>
          <w:szCs w:val="24"/>
          <w:u w:val="single"/>
          <w:rtl/>
        </w:rPr>
        <w:t>כשל ראשון ב"הצהרת" הנתבעת – בניגוד להצהרתה, הרי הנתבעת לא ערכה שום בדיקה</w:t>
      </w:r>
    </w:p>
    <w:p w:rsidR="00DE1DD0" w:rsidRDefault="00DE1DD0" w:rsidP="001143EA">
      <w:pPr>
        <w:pStyle w:val="ad"/>
        <w:spacing w:line="360" w:lineRule="auto"/>
        <w:ind w:left="566"/>
        <w:jc w:val="both"/>
        <w:rPr>
          <w:rFonts w:ascii="David" w:hAnsi="David" w:cs="David"/>
          <w:sz w:val="24"/>
          <w:szCs w:val="24"/>
        </w:rPr>
      </w:pPr>
      <w:r>
        <w:rPr>
          <w:rFonts w:ascii="David" w:hAnsi="David" w:cs="David"/>
          <w:sz w:val="24"/>
          <w:szCs w:val="24"/>
          <w:rtl/>
        </w:rPr>
        <w:t xml:space="preserve">מנכ"ל הנתבעת השיב תשובות מעט מתחמקות, כאשר נשאל אודות אותה "בחינה ובדיקה אישית" עליה הצהירה הנתבעת. וכך נשאל והשיב מנכ"ל הנתבעת (ע"מ 81, ש' </w:t>
      </w:r>
      <w:r w:rsidR="001143EA">
        <w:rPr>
          <w:rFonts w:ascii="David" w:hAnsi="David" w:cs="David" w:hint="cs"/>
          <w:sz w:val="24"/>
          <w:szCs w:val="24"/>
          <w:rtl/>
        </w:rPr>
        <w:t>14-</w:t>
      </w:r>
      <w:r>
        <w:rPr>
          <w:rFonts w:ascii="David" w:hAnsi="David" w:cs="David"/>
          <w:sz w:val="24"/>
          <w:szCs w:val="24"/>
          <w:rtl/>
        </w:rPr>
        <w:t>20, ההדגשות לא במקור):</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 xml:space="preserve">אוקיי. </w:t>
      </w:r>
      <w:r>
        <w:rPr>
          <w:rFonts w:cs="David"/>
          <w:sz w:val="24"/>
          <w:szCs w:val="24"/>
          <w:rtl/>
        </w:rPr>
        <w:t>מי בדק את נסיבות העניין? כתוב פה "בחנתי</w:t>
      </w:r>
      <w:bookmarkStart w:id="42" w:name="_ETM_Q_17715"/>
      <w:bookmarkEnd w:id="42"/>
      <w:r>
        <w:rPr>
          <w:rFonts w:cs="David"/>
          <w:sz w:val="24"/>
          <w:szCs w:val="24"/>
          <w:rtl/>
        </w:rPr>
        <w:t xml:space="preserve"> את נסיבות",</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t xml:space="preserve">(מדברים ביחד) </w:t>
      </w:r>
      <w:r>
        <w:rPr>
          <w:rFonts w:cs="David"/>
          <w:sz w:val="24"/>
          <w:szCs w:val="24"/>
          <w:rtl/>
        </w:rPr>
        <w:t>מי שחתום במסמך</w:t>
      </w:r>
      <w:r>
        <w:rPr>
          <w:rFonts w:cs="David"/>
          <w:sz w:val="24"/>
          <w:szCs w:val="24"/>
          <w:u w:val="none"/>
          <w:rtl/>
        </w:rPr>
        <w:t>.</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דקה. "בחנתי באופן אישי את נסיבות העסקה המתוארת ואין צורך לערוך חובת פנסיה". האם מה שאתה טוען שג'ניה בדקה את נסיבות העניין?</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t>נכון מאוד.</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האם ג'ניה בדקה את התיק הרפואי שלו לגרסתך?</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r>
      <w:r>
        <w:rPr>
          <w:rFonts w:cs="David"/>
          <w:sz w:val="24"/>
          <w:szCs w:val="24"/>
          <w:rtl/>
        </w:rPr>
        <w:t>אם היא בדקה את התיק הרפואי? אין לי מושג, צריך לבדוק את זה</w:t>
      </w:r>
      <w:r>
        <w:rPr>
          <w:rFonts w:cs="David"/>
          <w:sz w:val="24"/>
          <w:szCs w:val="24"/>
          <w:u w:val="none"/>
          <w:rtl/>
        </w:rPr>
        <w:t>.</w:t>
      </w:r>
    </w:p>
    <w:p w:rsidR="00DE1DD0" w:rsidRDefault="00DE1DD0" w:rsidP="00DE1DD0">
      <w:pPr>
        <w:pStyle w:val="ad"/>
        <w:spacing w:line="360" w:lineRule="auto"/>
        <w:ind w:left="926"/>
        <w:jc w:val="both"/>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 xml:space="preserve">ההצהרה החד משמעית, שמפנה להתחייבות אישית של המצהיר 'לאחר שבדק ובחן </w:t>
      </w:r>
      <w:r>
        <w:rPr>
          <w:rFonts w:ascii="David" w:hAnsi="David" w:cs="David"/>
          <w:sz w:val="24"/>
          <w:szCs w:val="24"/>
          <w:u w:val="single"/>
          <w:rtl/>
        </w:rPr>
        <w:t>אישית</w:t>
      </w:r>
      <w:r>
        <w:rPr>
          <w:rFonts w:ascii="David" w:hAnsi="David" w:cs="David"/>
          <w:sz w:val="24"/>
          <w:szCs w:val="24"/>
          <w:rtl/>
        </w:rPr>
        <w:t>' התגלתה חסרת תוכן. לא היתה שום בדיקה. לא ידוע מה הפעולות שערכה אותה ג'ניה שהוסתרה היטב על ידי הנתבעת ולא הובאה לעדות. ומי הצהיר? "מי שחתום במסמך". כך.</w:t>
      </w:r>
    </w:p>
    <w:p w:rsidR="00DE1DD0" w:rsidRDefault="00DE1DD0" w:rsidP="00DE1DD0">
      <w:pPr>
        <w:pStyle w:val="ad"/>
        <w:spacing w:line="360" w:lineRule="auto"/>
        <w:ind w:left="926"/>
        <w:jc w:val="both"/>
        <w:rPr>
          <w:rFonts w:ascii="David" w:hAnsi="David" w:cs="David"/>
          <w:sz w:val="24"/>
          <w:szCs w:val="24"/>
          <w:rtl/>
        </w:rPr>
      </w:pP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b/>
          <w:bCs/>
          <w:sz w:val="24"/>
          <w:szCs w:val="24"/>
          <w:u w:val="single"/>
          <w:rtl/>
        </w:rPr>
        <w:t>כשל שני ב"הצהרת" הנתבעת – התעלמות מהוראות הדין והמסגרת הנורמטיבית החלה על העברת מבוטח לקרן פנסיה</w:t>
      </w:r>
    </w:p>
    <w:p w:rsidR="00DE1DD0" w:rsidRDefault="00DE1DD0" w:rsidP="00DE1DD0">
      <w:pPr>
        <w:pStyle w:val="ad"/>
        <w:numPr>
          <w:ilvl w:val="0"/>
          <w:numId w:val="6"/>
        </w:numPr>
        <w:spacing w:line="360" w:lineRule="auto"/>
        <w:jc w:val="both"/>
        <w:rPr>
          <w:rFonts w:ascii="David" w:hAnsi="David" w:cs="David"/>
          <w:sz w:val="24"/>
          <w:szCs w:val="24"/>
        </w:rPr>
      </w:pPr>
      <w:r>
        <w:rPr>
          <w:rFonts w:ascii="David" w:hAnsi="David" w:cs="David"/>
          <w:sz w:val="24"/>
          <w:szCs w:val="24"/>
          <w:rtl/>
        </w:rPr>
        <w:t>הטענה לפיה אין צורך במסמך הנמקה, ואין חובה במתן בייעוץ פנסיוני – נוגדת את הוראות סעיף 13(ב) ל</w:t>
      </w:r>
      <w:r>
        <w:rPr>
          <w:rFonts w:ascii="David" w:hAnsi="David" w:cs="David"/>
          <w:sz w:val="24"/>
          <w:szCs w:val="24"/>
          <w:u w:val="single"/>
          <w:rtl/>
        </w:rPr>
        <w:t>חוק הפיקוח על שירותים פיננסיים (ייעוץ, שיווק ומערכת סליקה פנסיוניים)</w:t>
      </w:r>
      <w:r>
        <w:rPr>
          <w:rFonts w:ascii="David" w:hAnsi="David" w:cs="David"/>
          <w:sz w:val="24"/>
          <w:szCs w:val="24"/>
          <w:rtl/>
        </w:rPr>
        <w:t>, תשס"ה-2005.</w:t>
      </w:r>
    </w:p>
    <w:p w:rsidR="00DE1DD0" w:rsidRDefault="00DE1DD0" w:rsidP="00DE1DD0">
      <w:pPr>
        <w:pStyle w:val="ad"/>
        <w:spacing w:line="360" w:lineRule="auto"/>
        <w:ind w:left="566"/>
        <w:jc w:val="both"/>
        <w:rPr>
          <w:rFonts w:ascii="David" w:hAnsi="David" w:cs="David"/>
          <w:sz w:val="24"/>
          <w:szCs w:val="24"/>
          <w:rtl/>
        </w:rPr>
      </w:pPr>
    </w:p>
    <w:p w:rsidR="00DE1DD0" w:rsidRDefault="00DE1DD0" w:rsidP="00DE1DD0">
      <w:pPr>
        <w:pStyle w:val="ad"/>
        <w:numPr>
          <w:ilvl w:val="0"/>
          <w:numId w:val="6"/>
        </w:numPr>
        <w:spacing w:line="360" w:lineRule="auto"/>
        <w:jc w:val="both"/>
        <w:rPr>
          <w:rFonts w:ascii="David" w:hAnsi="David" w:cs="David"/>
          <w:sz w:val="24"/>
          <w:szCs w:val="24"/>
          <w:rtl/>
        </w:rPr>
      </w:pPr>
      <w:r>
        <w:rPr>
          <w:rFonts w:ascii="David" w:hAnsi="David" w:cs="David"/>
          <w:sz w:val="24"/>
          <w:szCs w:val="24"/>
          <w:rtl/>
        </w:rPr>
        <w:t>הטענה אף אינה עולה בקנה אחד עם הוראות סעיף 20 ל</w:t>
      </w:r>
      <w:r>
        <w:rPr>
          <w:rFonts w:ascii="David" w:hAnsi="David" w:cs="David"/>
          <w:sz w:val="24"/>
          <w:szCs w:val="24"/>
          <w:u w:val="single"/>
          <w:rtl/>
        </w:rPr>
        <w:t>חוק הפיקוח על שירותים פיננסיים (קופות גמל)</w:t>
      </w:r>
      <w:r>
        <w:rPr>
          <w:rFonts w:ascii="David" w:hAnsi="David" w:cs="David"/>
          <w:sz w:val="24"/>
          <w:szCs w:val="24"/>
          <w:rtl/>
        </w:rPr>
        <w:t xml:space="preserve">, תשס"ה – 2005, ובוודאי אינה עולה יחד עם הבהרת המפקח על הביטוח כבר מיום 1/8/2012 במסגרת שה. 2012-33703. </w:t>
      </w:r>
    </w:p>
    <w:p w:rsidR="00DE1DD0" w:rsidRDefault="00DE1DD0" w:rsidP="00DE1DD0">
      <w:pPr>
        <w:pStyle w:val="ad"/>
        <w:spacing w:line="360" w:lineRule="auto"/>
        <w:ind w:left="566"/>
        <w:jc w:val="both"/>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על המסגרת הנורמטיבית ממנה התעלמה לחלוטין הנתבעת, יורחב בפסקה הבאה.</w:t>
      </w:r>
    </w:p>
    <w:p w:rsidR="00DE1DD0" w:rsidRDefault="00DE1DD0" w:rsidP="00DE1DD0">
      <w:pPr>
        <w:pStyle w:val="ad"/>
        <w:rPr>
          <w:rFonts w:ascii="David" w:hAnsi="David" w:cs="David"/>
          <w:sz w:val="24"/>
          <w:szCs w:val="24"/>
          <w:rtl/>
        </w:rPr>
      </w:pPr>
    </w:p>
    <w:p w:rsidR="00081E3B" w:rsidRDefault="00081E3B" w:rsidP="00DE1DD0">
      <w:pPr>
        <w:pStyle w:val="ad"/>
        <w:rPr>
          <w:rFonts w:ascii="David" w:hAnsi="David" w:cs="David"/>
          <w:sz w:val="24"/>
          <w:szCs w:val="24"/>
          <w:rtl/>
        </w:rPr>
      </w:pPr>
    </w:p>
    <w:p w:rsidR="00DE1DD0" w:rsidRDefault="00DE1DD0" w:rsidP="00DE1DD0">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lastRenderedPageBreak/>
        <w:t xml:space="preserve">הפרת המסגרת הנורמטיבית - הנתבעת הפרה את הוראות החוק ונהגה בניגוד להבהרת המפקח על הביטוח </w:t>
      </w:r>
    </w:p>
    <w:p w:rsidR="00DE1DD0" w:rsidRDefault="00DE1DD0" w:rsidP="00DE1DD0">
      <w:pPr>
        <w:pStyle w:val="ad"/>
        <w:spacing w:line="360" w:lineRule="auto"/>
        <w:ind w:left="566"/>
        <w:jc w:val="both"/>
        <w:rPr>
          <w:rFonts w:ascii="David" w:hAnsi="David" w:cs="David"/>
          <w:sz w:val="24"/>
          <w:szCs w:val="24"/>
        </w:rPr>
      </w:pP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b/>
          <w:bCs/>
          <w:sz w:val="24"/>
          <w:szCs w:val="24"/>
          <w:u w:val="single"/>
          <w:rtl/>
        </w:rPr>
        <w:t>הפרת הוראות חוק הפיקוח על שירותים פיננסיים (ייעוץ, שיווק ומערכת סליקה פנסיוניים)</w:t>
      </w:r>
    </w:p>
    <w:p w:rsidR="00DE1DD0" w:rsidRDefault="00DE1DD0" w:rsidP="00DE1DD0">
      <w:pPr>
        <w:pStyle w:val="ad"/>
        <w:numPr>
          <w:ilvl w:val="0"/>
          <w:numId w:val="7"/>
        </w:numPr>
        <w:spacing w:line="360" w:lineRule="auto"/>
        <w:jc w:val="both"/>
        <w:rPr>
          <w:rFonts w:ascii="David" w:hAnsi="David" w:cs="David"/>
          <w:sz w:val="24"/>
          <w:szCs w:val="24"/>
        </w:rPr>
      </w:pPr>
      <w:r>
        <w:rPr>
          <w:rFonts w:ascii="David" w:hAnsi="David" w:cs="David"/>
          <w:sz w:val="24"/>
          <w:szCs w:val="24"/>
          <w:rtl/>
        </w:rPr>
        <w:t>סעיף 13(ב)(1) ל</w:t>
      </w:r>
      <w:r>
        <w:rPr>
          <w:rFonts w:ascii="David" w:hAnsi="David" w:cs="David"/>
          <w:sz w:val="24"/>
          <w:szCs w:val="24"/>
          <w:u w:val="single"/>
          <w:rtl/>
        </w:rPr>
        <w:t>חוק הפיקוח על שירותים פיננסיים (ייעוץ, שיווק ומערכת סליקה פנסיוניים)</w:t>
      </w:r>
      <w:r>
        <w:rPr>
          <w:rFonts w:ascii="David" w:hAnsi="David" w:cs="David"/>
          <w:sz w:val="24"/>
          <w:szCs w:val="24"/>
          <w:rtl/>
        </w:rPr>
        <w:t xml:space="preserve">  אכן קובע, בהתאמה לטענת הנתבעת, מקרים בהם "לא יידרש ייעוץ פנסיוני או שיווק פנסיוני". כלומר, מקרים בהם אכן ניתן לצרף לקוח לקופת גמל, אף ללא הענקת ייעוץ מוקדם.</w:t>
      </w:r>
    </w:p>
    <w:p w:rsidR="00DE1DD0" w:rsidRDefault="00DE1DD0" w:rsidP="00DE1DD0">
      <w:pPr>
        <w:pStyle w:val="ad"/>
        <w:spacing w:line="360" w:lineRule="auto"/>
        <w:ind w:left="926"/>
        <w:jc w:val="both"/>
        <w:rPr>
          <w:rFonts w:ascii="David" w:hAnsi="David" w:cs="David"/>
          <w:sz w:val="24"/>
          <w:szCs w:val="24"/>
        </w:rPr>
      </w:pPr>
    </w:p>
    <w:p w:rsidR="00DE1DD0" w:rsidRDefault="00DE1DD0" w:rsidP="00DE1DD0">
      <w:pPr>
        <w:pStyle w:val="ad"/>
        <w:spacing w:line="360" w:lineRule="auto"/>
        <w:ind w:left="926"/>
        <w:jc w:val="both"/>
        <w:rPr>
          <w:rFonts w:ascii="David" w:hAnsi="David" w:cs="David"/>
          <w:sz w:val="24"/>
          <w:szCs w:val="24"/>
          <w:rtl/>
        </w:rPr>
      </w:pPr>
      <w:r>
        <w:rPr>
          <w:rFonts w:ascii="David" w:hAnsi="David" w:cs="David"/>
          <w:sz w:val="24"/>
          <w:szCs w:val="24"/>
          <w:u w:val="single"/>
          <w:rtl/>
        </w:rPr>
        <w:t>ואולם</w:t>
      </w:r>
      <w:r>
        <w:rPr>
          <w:rFonts w:ascii="David" w:hAnsi="David" w:cs="David"/>
          <w:sz w:val="24"/>
          <w:szCs w:val="24"/>
          <w:rtl/>
        </w:rPr>
        <w:t>, הוראות סעיף 13(ב)(1)(ב) לחוק זה מחריגה במיוחד מצבים בהם אין מדובר בלקוח חדש אלא ב</w:t>
      </w:r>
      <w:r>
        <w:rPr>
          <w:rFonts w:ascii="David" w:hAnsi="David" w:cs="David"/>
          <w:b/>
          <w:bCs/>
          <w:sz w:val="24"/>
          <w:szCs w:val="24"/>
          <w:rtl/>
        </w:rPr>
        <w:t>"לקוח אשר כבר מבוטח בחברת ביטוח"</w:t>
      </w:r>
      <w:r>
        <w:rPr>
          <w:rFonts w:ascii="David" w:hAnsi="David" w:cs="David"/>
          <w:sz w:val="24"/>
          <w:szCs w:val="24"/>
          <w:rtl/>
        </w:rPr>
        <w:t xml:space="preserve">. בדיוק כמו בעניינו של התובע, אשר "צירופו" לקרן הפנסיונית לא היה בגדר צירוף לקוח חדש אלא </w:t>
      </w:r>
      <w:r>
        <w:rPr>
          <w:rFonts w:ascii="David" w:hAnsi="David" w:cs="David"/>
          <w:sz w:val="24"/>
          <w:szCs w:val="24"/>
          <w:u w:val="single"/>
          <w:rtl/>
        </w:rPr>
        <w:t>בגדר העברת</w:t>
      </w:r>
      <w:r>
        <w:rPr>
          <w:rFonts w:ascii="David" w:hAnsi="David" w:cs="David"/>
          <w:sz w:val="24"/>
          <w:szCs w:val="24"/>
          <w:rtl/>
        </w:rPr>
        <w:t xml:space="preserve">  מבוטח מכיסוי ביטוחי קיים, אל קרן פנסיונית.</w:t>
      </w:r>
    </w:p>
    <w:p w:rsidR="00DE1DD0" w:rsidRDefault="00DE1DD0" w:rsidP="00DE1DD0">
      <w:pPr>
        <w:pStyle w:val="ad"/>
        <w:spacing w:line="360" w:lineRule="auto"/>
        <w:ind w:left="926"/>
        <w:jc w:val="both"/>
        <w:rPr>
          <w:rFonts w:ascii="David" w:hAnsi="David" w:cs="David"/>
          <w:sz w:val="24"/>
          <w:szCs w:val="24"/>
          <w:u w:val="single"/>
          <w:rtl/>
        </w:rPr>
      </w:pPr>
    </w:p>
    <w:p w:rsidR="00DE1DD0" w:rsidRDefault="00DE1DD0" w:rsidP="00DE1DD0">
      <w:pPr>
        <w:pStyle w:val="ad"/>
        <w:numPr>
          <w:ilvl w:val="0"/>
          <w:numId w:val="7"/>
        </w:numPr>
        <w:spacing w:line="360" w:lineRule="auto"/>
        <w:jc w:val="both"/>
        <w:rPr>
          <w:rFonts w:ascii="David" w:hAnsi="David" w:cs="David"/>
          <w:sz w:val="24"/>
          <w:szCs w:val="24"/>
          <w:rtl/>
        </w:rPr>
      </w:pPr>
      <w:r>
        <w:rPr>
          <w:rFonts w:ascii="David" w:hAnsi="David" w:cs="David"/>
          <w:sz w:val="24"/>
          <w:szCs w:val="24"/>
          <w:rtl/>
        </w:rPr>
        <w:t xml:space="preserve">על החרגתו של </w:t>
      </w:r>
      <w:r>
        <w:rPr>
          <w:rFonts w:ascii="David" w:hAnsi="David" w:cs="David"/>
          <w:b/>
          <w:bCs/>
          <w:sz w:val="24"/>
          <w:szCs w:val="24"/>
          <w:rtl/>
        </w:rPr>
        <w:t>"לקוח אשר כבר מבוטח בחברת ביטוח"</w:t>
      </w:r>
      <w:r>
        <w:rPr>
          <w:rFonts w:ascii="David" w:hAnsi="David" w:cs="David"/>
          <w:sz w:val="24"/>
          <w:szCs w:val="24"/>
          <w:rtl/>
        </w:rPr>
        <w:t xml:space="preserve"> למדים מנוסחו של סעיף 13(ב)(1)(ב)  ל</w:t>
      </w:r>
      <w:r>
        <w:rPr>
          <w:rFonts w:ascii="David" w:hAnsi="David" w:cs="David"/>
          <w:sz w:val="24"/>
          <w:szCs w:val="24"/>
          <w:u w:val="single"/>
          <w:rtl/>
        </w:rPr>
        <w:t xml:space="preserve">חוק הפיקוח על שירותים פיננסיים (ייעוץ, שיווק ומערכת סליקה פנסיוניים) </w:t>
      </w:r>
      <w:r>
        <w:rPr>
          <w:rFonts w:ascii="David" w:hAnsi="David" w:cs="David"/>
          <w:sz w:val="24"/>
          <w:szCs w:val="24"/>
          <w:rtl/>
        </w:rPr>
        <w:t xml:space="preserve">הקובע כך (ההדגשות לא במקור): </w:t>
      </w:r>
    </w:p>
    <w:p w:rsidR="00DE1DD0" w:rsidRDefault="00DE1DD0" w:rsidP="00DE1DD0">
      <w:pPr>
        <w:pStyle w:val="ad"/>
        <w:numPr>
          <w:ilvl w:val="0"/>
          <w:numId w:val="8"/>
        </w:numPr>
        <w:spacing w:line="360" w:lineRule="auto"/>
        <w:ind w:left="2551"/>
        <w:jc w:val="both"/>
        <w:rPr>
          <w:rFonts w:ascii="David" w:hAnsi="David" w:cs="David"/>
          <w:b/>
          <w:bCs/>
          <w:sz w:val="24"/>
          <w:szCs w:val="24"/>
          <w:rtl/>
        </w:rPr>
      </w:pPr>
      <w:r>
        <w:rPr>
          <w:rFonts w:ascii="David" w:hAnsi="David" w:cs="David"/>
          <w:b/>
          <w:bCs/>
          <w:sz w:val="24"/>
          <w:szCs w:val="24"/>
          <w:rtl/>
        </w:rPr>
        <w:t xml:space="preserve">על אף האמור בסעיף קטן (א), לעניין הפעולות המפורטות להלן </w:t>
      </w:r>
      <w:r>
        <w:rPr>
          <w:rFonts w:ascii="David" w:hAnsi="David" w:cs="David"/>
          <w:b/>
          <w:bCs/>
          <w:sz w:val="24"/>
          <w:szCs w:val="24"/>
          <w:u w:val="single"/>
          <w:rtl/>
        </w:rPr>
        <w:t>לא יידרש ייעוץ פנסיוני או שיווק פנסיוני</w:t>
      </w:r>
      <w:r>
        <w:rPr>
          <w:rFonts w:ascii="David" w:hAnsi="David" w:cs="David"/>
          <w:b/>
          <w:bCs/>
          <w:sz w:val="24"/>
          <w:szCs w:val="24"/>
          <w:rtl/>
        </w:rPr>
        <w:t>:</w:t>
      </w:r>
    </w:p>
    <w:p w:rsidR="00DE1DD0" w:rsidRDefault="00DE1DD0" w:rsidP="00DE1DD0">
      <w:pPr>
        <w:pStyle w:val="ad"/>
        <w:spacing w:line="360" w:lineRule="auto"/>
        <w:ind w:left="566"/>
        <w:jc w:val="both"/>
        <w:rPr>
          <w:rFonts w:ascii="David" w:hAnsi="David" w:cs="David"/>
          <w:sz w:val="24"/>
          <w:szCs w:val="24"/>
          <w:rtl/>
        </w:rPr>
      </w:pPr>
    </w:p>
    <w:p w:rsidR="00DE1DD0" w:rsidRDefault="00DE1DD0" w:rsidP="00DE1DD0">
      <w:pPr>
        <w:pStyle w:val="ad"/>
        <w:numPr>
          <w:ilvl w:val="0"/>
          <w:numId w:val="9"/>
        </w:numPr>
        <w:spacing w:line="360" w:lineRule="auto"/>
        <w:ind w:left="2976"/>
        <w:jc w:val="both"/>
        <w:rPr>
          <w:rFonts w:ascii="David" w:hAnsi="David" w:cs="David"/>
          <w:sz w:val="24"/>
          <w:szCs w:val="24"/>
          <w:rtl/>
        </w:rPr>
      </w:pPr>
      <w:r>
        <w:rPr>
          <w:rFonts w:ascii="David" w:hAnsi="David" w:cs="David"/>
          <w:b/>
          <w:bCs/>
          <w:sz w:val="24"/>
          <w:szCs w:val="24"/>
          <w:rtl/>
        </w:rPr>
        <w:t xml:space="preserve">ביצוע עסקה לגבי מוצר פנסיוני בין לקוח לגוף מוסדי, בידי הלקוח, במישרין, בעקבות פנייה יזומה של הלקוח לגוף המוסדי, </w:t>
      </w:r>
      <w:r>
        <w:rPr>
          <w:rFonts w:ascii="David" w:hAnsi="David" w:cs="David"/>
          <w:b/>
          <w:bCs/>
          <w:sz w:val="24"/>
          <w:szCs w:val="24"/>
          <w:u w:val="single"/>
          <w:rtl/>
        </w:rPr>
        <w:t>למעט אם התקיים בלקוח אחד מאלה</w:t>
      </w:r>
      <w:r>
        <w:rPr>
          <w:rFonts w:ascii="David" w:hAnsi="David" w:cs="David"/>
          <w:sz w:val="24"/>
          <w:szCs w:val="24"/>
        </w:rPr>
        <w:t>:</w:t>
      </w:r>
    </w:p>
    <w:p w:rsidR="00DE1DD0" w:rsidRDefault="00DE1DD0" w:rsidP="00DE1DD0">
      <w:pPr>
        <w:pStyle w:val="ad"/>
        <w:numPr>
          <w:ilvl w:val="0"/>
          <w:numId w:val="10"/>
        </w:numPr>
        <w:spacing w:line="360" w:lineRule="auto"/>
        <w:jc w:val="both"/>
        <w:rPr>
          <w:rFonts w:ascii="David" w:hAnsi="David" w:cs="David"/>
          <w:b/>
          <w:bCs/>
          <w:sz w:val="24"/>
          <w:szCs w:val="24"/>
        </w:rPr>
      </w:pPr>
      <w:r>
        <w:rPr>
          <w:rFonts w:ascii="David" w:hAnsi="David" w:cs="David"/>
          <w:b/>
          <w:bCs/>
          <w:sz w:val="24"/>
          <w:szCs w:val="24"/>
          <w:rtl/>
        </w:rPr>
        <w:t>...</w:t>
      </w:r>
    </w:p>
    <w:p w:rsidR="00DE1DD0" w:rsidRDefault="00DE1DD0" w:rsidP="00DE1DD0">
      <w:pPr>
        <w:pStyle w:val="ad"/>
        <w:numPr>
          <w:ilvl w:val="0"/>
          <w:numId w:val="10"/>
        </w:numPr>
        <w:spacing w:line="360" w:lineRule="auto"/>
        <w:jc w:val="both"/>
        <w:rPr>
          <w:rFonts w:ascii="David" w:hAnsi="David" w:cs="David"/>
          <w:b/>
          <w:bCs/>
          <w:sz w:val="24"/>
          <w:szCs w:val="24"/>
        </w:rPr>
      </w:pPr>
      <w:r>
        <w:rPr>
          <w:rFonts w:ascii="David" w:hAnsi="David" w:cs="David"/>
          <w:b/>
          <w:bCs/>
          <w:sz w:val="24"/>
          <w:szCs w:val="24"/>
          <w:u w:val="single"/>
          <w:rtl/>
        </w:rPr>
        <w:t>הלקוח הוא מבוטח פעיל בקופת ביטוח</w:t>
      </w:r>
      <w:r>
        <w:rPr>
          <w:rFonts w:ascii="David" w:hAnsi="David" w:cs="David"/>
          <w:b/>
          <w:bCs/>
          <w:sz w:val="24"/>
          <w:szCs w:val="24"/>
          <w:rtl/>
        </w:rPr>
        <w:t>;</w:t>
      </w:r>
    </w:p>
    <w:p w:rsidR="00DE1DD0" w:rsidRDefault="00DE1DD0" w:rsidP="00DE1DD0">
      <w:pPr>
        <w:pStyle w:val="ad"/>
        <w:numPr>
          <w:ilvl w:val="0"/>
          <w:numId w:val="10"/>
        </w:numPr>
        <w:spacing w:line="360" w:lineRule="auto"/>
        <w:jc w:val="both"/>
        <w:rPr>
          <w:rFonts w:ascii="David" w:hAnsi="David" w:cs="David"/>
          <w:b/>
          <w:bCs/>
          <w:sz w:val="24"/>
          <w:szCs w:val="24"/>
        </w:rPr>
      </w:pPr>
      <w:r>
        <w:rPr>
          <w:rFonts w:ascii="David" w:hAnsi="David" w:cs="David"/>
          <w:b/>
          <w:bCs/>
          <w:sz w:val="24"/>
          <w:szCs w:val="24"/>
          <w:rtl/>
        </w:rPr>
        <w:t>...</w:t>
      </w:r>
    </w:p>
    <w:p w:rsidR="00DE1DD0" w:rsidRDefault="00DE1DD0" w:rsidP="00DE1DD0">
      <w:pPr>
        <w:pStyle w:val="ad"/>
        <w:numPr>
          <w:ilvl w:val="0"/>
          <w:numId w:val="10"/>
        </w:numPr>
        <w:spacing w:line="360" w:lineRule="auto"/>
        <w:jc w:val="both"/>
        <w:rPr>
          <w:rFonts w:ascii="David" w:hAnsi="David" w:cs="David"/>
          <w:b/>
          <w:bCs/>
          <w:sz w:val="24"/>
          <w:szCs w:val="24"/>
        </w:rPr>
      </w:pPr>
      <w:r>
        <w:rPr>
          <w:rFonts w:ascii="David" w:hAnsi="David" w:cs="David"/>
          <w:b/>
          <w:bCs/>
          <w:sz w:val="24"/>
          <w:szCs w:val="24"/>
          <w:rtl/>
        </w:rPr>
        <w:t>...</w:t>
      </w:r>
    </w:p>
    <w:p w:rsidR="00081E3B" w:rsidRDefault="00081E3B" w:rsidP="00DE1DD0">
      <w:pPr>
        <w:pStyle w:val="ad"/>
        <w:spacing w:line="360" w:lineRule="auto"/>
        <w:ind w:left="566"/>
        <w:jc w:val="both"/>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המשמעות ברורה – ברגיל אכן לא יידרש ייעוץ פנסיוני או שיווק פנסיוני, אך זאת למעט מספר חריגים שהחשוב בהם לענייננו הוא אם "</w:t>
      </w:r>
      <w:r>
        <w:rPr>
          <w:rFonts w:ascii="David" w:hAnsi="David" w:cs="David"/>
          <w:b/>
          <w:bCs/>
          <w:sz w:val="24"/>
          <w:szCs w:val="24"/>
          <w:rtl/>
        </w:rPr>
        <w:t>הלקוח הוא מבוטח פעיל בקופת ביטוח</w:t>
      </w:r>
      <w:r>
        <w:rPr>
          <w:rFonts w:ascii="David" w:hAnsi="David" w:cs="David"/>
          <w:sz w:val="24"/>
          <w:szCs w:val="24"/>
          <w:rtl/>
        </w:rPr>
        <w:t>". במקרה כזה, כמו בעניינו של התובע – קמה החובה לערוך פעולות ייעוץ ושיווק פנסיוני וממילא קמה החובה לנתבעת לערוך פעולות שיווק וייעוץ פנסיוני.</w:t>
      </w:r>
    </w:p>
    <w:p w:rsidR="00DE1DD0" w:rsidRDefault="00DE1DD0" w:rsidP="00DE1DD0">
      <w:pPr>
        <w:pStyle w:val="ad"/>
        <w:spacing w:line="360" w:lineRule="auto"/>
        <w:ind w:left="566"/>
        <w:jc w:val="both"/>
        <w:rPr>
          <w:rFonts w:ascii="David" w:hAnsi="David" w:cs="David"/>
          <w:sz w:val="24"/>
          <w:szCs w:val="24"/>
          <w:rtl/>
        </w:rPr>
      </w:pP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b/>
          <w:bCs/>
          <w:sz w:val="24"/>
          <w:szCs w:val="24"/>
          <w:u w:val="single"/>
          <w:rtl/>
        </w:rPr>
        <w:t>הפרת הוראות חוק הפיקוח על שירותים פיננסיים (קופות גמל) והפניה להבהרת המפקח על הביטוח</w:t>
      </w:r>
      <w:r>
        <w:rPr>
          <w:rFonts w:ascii="David" w:hAnsi="David" w:cs="David"/>
          <w:sz w:val="24"/>
          <w:szCs w:val="24"/>
          <w:rtl/>
        </w:rPr>
        <w:t xml:space="preserve"> </w:t>
      </w:r>
      <w:r>
        <w:rPr>
          <w:rFonts w:ascii="David" w:hAnsi="David" w:cs="David"/>
          <w:b/>
          <w:bCs/>
          <w:sz w:val="24"/>
          <w:szCs w:val="24"/>
          <w:u w:val="single"/>
          <w:rtl/>
        </w:rPr>
        <w:t>והתייחסות לסעיף 20(ב) לחוק</w:t>
      </w:r>
    </w:p>
    <w:p w:rsidR="00DE1DD0" w:rsidRDefault="00DE1DD0" w:rsidP="00DE1DD0">
      <w:pPr>
        <w:pStyle w:val="ad"/>
        <w:numPr>
          <w:ilvl w:val="0"/>
          <w:numId w:val="11"/>
        </w:numPr>
        <w:spacing w:line="360" w:lineRule="auto"/>
        <w:jc w:val="both"/>
        <w:rPr>
          <w:rFonts w:ascii="David" w:hAnsi="David" w:cs="David"/>
          <w:sz w:val="24"/>
          <w:szCs w:val="24"/>
        </w:rPr>
      </w:pPr>
      <w:r>
        <w:rPr>
          <w:rFonts w:ascii="David" w:hAnsi="David" w:cs="David"/>
          <w:sz w:val="24"/>
          <w:szCs w:val="24"/>
          <w:rtl/>
        </w:rPr>
        <w:t>כפי שהוזכר בסעיף 4.1 לעיל, כאשר הצהיר נציג הנתבעת, כי 'בחן ובדק באופן אישי את נסיבות העסקה' – הרי הוא הפנה גם להוראות סעיף 20(ב) ל</w:t>
      </w:r>
      <w:r>
        <w:rPr>
          <w:rFonts w:ascii="David" w:hAnsi="David" w:cs="David"/>
          <w:sz w:val="24"/>
          <w:szCs w:val="24"/>
          <w:u w:val="single"/>
          <w:rtl/>
        </w:rPr>
        <w:t xml:space="preserve">חוק הפיקוח על שירותים </w:t>
      </w:r>
      <w:r>
        <w:rPr>
          <w:rFonts w:ascii="David" w:hAnsi="David" w:cs="David"/>
          <w:sz w:val="24"/>
          <w:szCs w:val="24"/>
          <w:u w:val="single"/>
          <w:rtl/>
        </w:rPr>
        <w:lastRenderedPageBreak/>
        <w:t>פיננסיים (קופות גמל)</w:t>
      </w:r>
      <w:r>
        <w:rPr>
          <w:rFonts w:ascii="David" w:hAnsi="David" w:cs="David"/>
          <w:sz w:val="24"/>
          <w:szCs w:val="24"/>
          <w:rtl/>
        </w:rPr>
        <w:t>, תשס"ה – 2005. הוראות אשר פוטרות את הנתבעת, לטעמה, מעריכת "מסמך הנמקה" וממתן שירותי ייעוץ פנסיוני.</w:t>
      </w:r>
    </w:p>
    <w:p w:rsidR="00DE1DD0" w:rsidRDefault="00DE1DD0" w:rsidP="00DE1DD0">
      <w:pPr>
        <w:pStyle w:val="ad"/>
        <w:spacing w:line="360" w:lineRule="auto"/>
        <w:ind w:left="926"/>
        <w:jc w:val="both"/>
        <w:rPr>
          <w:rFonts w:ascii="David" w:hAnsi="David" w:cs="David"/>
          <w:sz w:val="24"/>
          <w:szCs w:val="24"/>
        </w:rPr>
      </w:pPr>
    </w:p>
    <w:p w:rsidR="00DE1DD0" w:rsidRDefault="00DE1DD0" w:rsidP="00DE1DD0">
      <w:pPr>
        <w:pStyle w:val="ad"/>
        <w:numPr>
          <w:ilvl w:val="0"/>
          <w:numId w:val="11"/>
        </w:numPr>
        <w:spacing w:line="360" w:lineRule="auto"/>
        <w:jc w:val="both"/>
        <w:rPr>
          <w:rFonts w:cs="David"/>
          <w:sz w:val="24"/>
          <w:szCs w:val="24"/>
        </w:rPr>
      </w:pPr>
      <w:r>
        <w:rPr>
          <w:rFonts w:ascii="David" w:hAnsi="David" w:cs="David"/>
          <w:sz w:val="24"/>
          <w:szCs w:val="24"/>
          <w:rtl/>
        </w:rPr>
        <w:t>הוראות סעיף 20(ב) ל</w:t>
      </w:r>
      <w:r>
        <w:rPr>
          <w:rFonts w:ascii="David" w:hAnsi="David" w:cs="David"/>
          <w:sz w:val="24"/>
          <w:szCs w:val="24"/>
          <w:u w:val="single"/>
          <w:rtl/>
        </w:rPr>
        <w:t>חוק הפיקוח על שירותים פיננסיים (קופות גמל)</w:t>
      </w:r>
      <w:r>
        <w:rPr>
          <w:rFonts w:ascii="David" w:hAnsi="David" w:cs="David"/>
          <w:sz w:val="24"/>
          <w:szCs w:val="24"/>
          <w:rtl/>
        </w:rPr>
        <w:t>, מתייחסות רק אל לקוח חדש ועובד חדש, ועל כך ארחיב בס"ק (ג) להלן. ההוראות לא מקנות זכות להעביר לקוח קיים, ללא הסכמתו, אל קרן פנסיונית. מנכ"ל הנתבעת מודע היטב להוראות סעיף 20(ב) לחוק, וכך עולה מתשובותיו בחקירה הנגדית (</w:t>
      </w:r>
      <w:r>
        <w:rPr>
          <w:rFonts w:cs="David"/>
          <w:sz w:val="24"/>
          <w:szCs w:val="24"/>
          <w:rtl/>
        </w:rPr>
        <w:t>ע"מ 82-83, ההדגשות לא במקור):</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 xml:space="preserve">האם אתה מודע להוראות חוק הפיקוח על שירותים פיננסיים קופות גמל, סעיף 20? </w:t>
      </w:r>
    </w:p>
    <w:p w:rsidR="00DE1DD0" w:rsidRDefault="00DE1DD0" w:rsidP="00DE1DD0">
      <w:pPr>
        <w:pStyle w:val="10"/>
        <w:shd w:val="clear" w:color="auto" w:fill="auto"/>
        <w:spacing w:line="360" w:lineRule="auto"/>
        <w:ind w:left="3401" w:hanging="1792"/>
        <w:jc w:val="both"/>
        <w:rPr>
          <w:rFonts w:cs="David"/>
          <w:sz w:val="24"/>
          <w:szCs w:val="24"/>
          <w:u w:val="none"/>
        </w:rPr>
      </w:pPr>
      <w:r>
        <w:rPr>
          <w:rFonts w:cs="David"/>
          <w:sz w:val="24"/>
          <w:szCs w:val="24"/>
          <w:u w:val="none"/>
          <w:rtl/>
        </w:rPr>
        <w:t>העד, מר חייטמן:</w:t>
      </w:r>
      <w:r>
        <w:rPr>
          <w:rFonts w:cs="David"/>
          <w:sz w:val="24"/>
          <w:szCs w:val="24"/>
          <w:u w:val="none"/>
          <w:rtl/>
        </w:rPr>
        <w:tab/>
        <w:t>אוקיי.</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ab/>
        <w:t>...</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תסביר בבקשה לבית המשפט מה הבחירה אומרת? מה החוק אומר?</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t>החוק אומר ש</w:t>
      </w:r>
      <w:r>
        <w:rPr>
          <w:rFonts w:cs="David"/>
          <w:sz w:val="24"/>
          <w:szCs w:val="24"/>
          <w:rtl/>
        </w:rPr>
        <w:t>העובד יכול לבחור</w:t>
      </w:r>
      <w:r>
        <w:rPr>
          <w:rFonts w:cs="David"/>
          <w:sz w:val="24"/>
          <w:szCs w:val="24"/>
          <w:u w:val="none"/>
          <w:rtl/>
        </w:rPr>
        <w:t xml:space="preserve"> את סוג הפנסיה, סוג קופת גמל, זאת אומרת </w:t>
      </w:r>
      <w:r>
        <w:rPr>
          <w:rFonts w:cs="David"/>
          <w:sz w:val="24"/>
          <w:szCs w:val="24"/>
          <w:rtl/>
        </w:rPr>
        <w:t>לבחירתו</w:t>
      </w:r>
      <w:r>
        <w:rPr>
          <w:rFonts w:cs="David"/>
          <w:sz w:val="24"/>
          <w:szCs w:val="24"/>
          <w:u w:val="none"/>
          <w:rtl/>
        </w:rPr>
        <w:t xml:space="preserve"> יכול להיות, לבחור איפה הוא רוצה לעשות תוכנית (מדברים ביחד),</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r>
      <w:r>
        <w:rPr>
          <w:rFonts w:cs="David"/>
          <w:sz w:val="24"/>
          <w:szCs w:val="24"/>
          <w:rtl/>
        </w:rPr>
        <w:t>האם לפי החוק למעביד יש זכות להתערב</w:t>
      </w:r>
      <w:r>
        <w:rPr>
          <w:rFonts w:cs="David"/>
          <w:sz w:val="24"/>
          <w:szCs w:val="24"/>
          <w:u w:val="none"/>
          <w:rtl/>
        </w:rPr>
        <w:t xml:space="preserve"> בבחירה של העובד? </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r>
      <w:r>
        <w:rPr>
          <w:rFonts w:cs="David"/>
          <w:sz w:val="24"/>
          <w:szCs w:val="24"/>
          <w:rtl/>
        </w:rPr>
        <w:t>לא</w:t>
      </w:r>
      <w:r>
        <w:rPr>
          <w:rFonts w:cs="David"/>
          <w:sz w:val="24"/>
          <w:szCs w:val="24"/>
          <w:u w:val="none"/>
          <w:rtl/>
        </w:rPr>
        <w:t>. לפי סעיף 20 לא, משנת, תזכיר לי? אתה יכול להיכנס לגוגל לבדוק מאיזה שנה סעיף 20?</w:t>
      </w:r>
    </w:p>
    <w:p w:rsidR="00DE1DD0" w:rsidRDefault="00DE1DD0" w:rsidP="00DE1DD0">
      <w:pPr>
        <w:pStyle w:val="ad"/>
        <w:rPr>
          <w:rFonts w:ascii="David" w:hAnsi="David" w:cs="David"/>
          <w:sz w:val="24"/>
          <w:szCs w:val="24"/>
          <w:rtl/>
        </w:rPr>
      </w:pPr>
    </w:p>
    <w:p w:rsidR="00DE1DD0" w:rsidRDefault="00DE1DD0" w:rsidP="00DE1DD0">
      <w:pPr>
        <w:pStyle w:val="ad"/>
        <w:spacing w:line="360" w:lineRule="auto"/>
        <w:ind w:left="926"/>
        <w:jc w:val="both"/>
        <w:rPr>
          <w:rFonts w:ascii="David" w:hAnsi="David" w:cs="David"/>
          <w:sz w:val="24"/>
          <w:szCs w:val="24"/>
          <w:rtl/>
        </w:rPr>
      </w:pPr>
      <w:r>
        <w:rPr>
          <w:rFonts w:ascii="David" w:hAnsi="David" w:cs="David"/>
          <w:sz w:val="24"/>
          <w:szCs w:val="24"/>
          <w:rtl/>
        </w:rPr>
        <w:t>והינה, למרות שמנכ"ל הנתבעת ידע היטב שלמעסיק אין זכות להתערב בבחירה של העובד, הרי בפועל – "הועבר" התובע מכיסוי ביטוחי אל קרן פנסיונית. זאת ללא שהתבקשה הסכמתו ובוודאי מבלי שזו ניתנה.</w:t>
      </w:r>
    </w:p>
    <w:p w:rsidR="00DE1DD0" w:rsidRDefault="00DE1DD0" w:rsidP="00DE1DD0">
      <w:pPr>
        <w:pStyle w:val="ad"/>
        <w:spacing w:line="360" w:lineRule="auto"/>
        <w:ind w:left="926"/>
        <w:jc w:val="both"/>
        <w:rPr>
          <w:rFonts w:ascii="David" w:hAnsi="David" w:cs="David"/>
          <w:sz w:val="24"/>
          <w:szCs w:val="24"/>
          <w:rtl/>
        </w:rPr>
      </w:pPr>
    </w:p>
    <w:p w:rsidR="00DE1DD0" w:rsidRDefault="00DE1DD0" w:rsidP="00DE1DD0">
      <w:pPr>
        <w:pStyle w:val="ad"/>
        <w:numPr>
          <w:ilvl w:val="0"/>
          <w:numId w:val="11"/>
        </w:numPr>
        <w:spacing w:line="360" w:lineRule="auto"/>
        <w:jc w:val="both"/>
        <w:rPr>
          <w:rFonts w:ascii="David" w:hAnsi="David" w:cs="David"/>
          <w:sz w:val="24"/>
          <w:szCs w:val="24"/>
        </w:rPr>
      </w:pPr>
      <w:r>
        <w:rPr>
          <w:rFonts w:ascii="David" w:hAnsi="David" w:cs="David"/>
          <w:b/>
          <w:bCs/>
          <w:sz w:val="24"/>
          <w:szCs w:val="24"/>
          <w:u w:val="single"/>
          <w:rtl/>
        </w:rPr>
        <w:t>הבהרת המפקח על הביטוח</w:t>
      </w:r>
      <w:r>
        <w:rPr>
          <w:rFonts w:ascii="David" w:hAnsi="David" w:cs="David"/>
          <w:sz w:val="24"/>
          <w:szCs w:val="24"/>
          <w:rtl/>
        </w:rPr>
        <w:t xml:space="preserve"> - הנתבעת התעלמה במפגיע מכך שהוראות סעיף 20(ב) ל</w:t>
      </w:r>
      <w:r>
        <w:rPr>
          <w:rFonts w:ascii="David" w:hAnsi="David" w:cs="David"/>
          <w:sz w:val="24"/>
          <w:szCs w:val="24"/>
          <w:u w:val="single"/>
          <w:rtl/>
        </w:rPr>
        <w:t xml:space="preserve"> חוק הפיקוח על שירותים פיננסיים (קופות גמל)</w:t>
      </w:r>
      <w:r>
        <w:rPr>
          <w:rFonts w:ascii="David" w:hAnsi="David" w:cs="David"/>
          <w:sz w:val="24"/>
          <w:szCs w:val="24"/>
          <w:rtl/>
        </w:rPr>
        <w:t xml:space="preserve"> מתייחסות רק למקרים של צירוף עובדים חדשים </w:t>
      </w:r>
      <w:r>
        <w:rPr>
          <w:rFonts w:ascii="David" w:hAnsi="David" w:cs="David"/>
          <w:sz w:val="24"/>
          <w:szCs w:val="24"/>
          <w:u w:val="single"/>
          <w:rtl/>
        </w:rPr>
        <w:t>ולא חלות</w:t>
      </w:r>
      <w:r>
        <w:rPr>
          <w:rFonts w:ascii="David" w:hAnsi="David" w:cs="David"/>
          <w:sz w:val="24"/>
          <w:szCs w:val="24"/>
          <w:rtl/>
        </w:rPr>
        <w:t xml:space="preserve"> במקרה של שינוי או העברה של עובד או לקוח קיים הנהנה כבר ממוצרי חסכון פנסיוני. לענין זה הובהר כבר בשנת 2012, במסגרת סעיף 5 להבהרת הממונה על הביטוח (שה 2012-33703, מיום 1/8/2012, ההדגשות לא במקור) כך:</w:t>
      </w:r>
    </w:p>
    <w:p w:rsidR="00DE1DD0" w:rsidRDefault="00DE1DD0" w:rsidP="00DE1DD0">
      <w:pPr>
        <w:pStyle w:val="ad"/>
        <w:spacing w:line="360" w:lineRule="auto"/>
        <w:ind w:left="2160"/>
        <w:jc w:val="both"/>
        <w:rPr>
          <w:rFonts w:ascii="David" w:hAnsi="David" w:cs="David"/>
          <w:b/>
          <w:bCs/>
          <w:sz w:val="24"/>
          <w:szCs w:val="24"/>
        </w:rPr>
      </w:pPr>
      <w:r>
        <w:rPr>
          <w:rFonts w:ascii="David" w:hAnsi="David" w:cs="David"/>
          <w:b/>
          <w:bCs/>
          <w:sz w:val="24"/>
          <w:szCs w:val="24"/>
          <w:rtl/>
        </w:rPr>
        <w:t xml:space="preserve">"בסייגים לעיל לא נקבעו הוראות מיוחדות לענין צירוף עמיתים לפי סעיף 20(ב) לחוק הפיקוח על שירותים פיננסיים (קופות גמל), התשס"ה – 2005. עם זאת </w:t>
      </w:r>
      <w:r>
        <w:rPr>
          <w:rFonts w:ascii="David" w:hAnsi="David" w:cs="David"/>
          <w:b/>
          <w:bCs/>
          <w:sz w:val="24"/>
          <w:szCs w:val="24"/>
          <w:u w:val="single"/>
          <w:rtl/>
        </w:rPr>
        <w:t>נזכיר כי הוראות סעיף 20(ב) האמורות חלות רק לענין צירוף לראשונה שמבצע מעביד עבור עובד חדש</w:t>
      </w:r>
      <w:r>
        <w:rPr>
          <w:rFonts w:ascii="David" w:hAnsi="David" w:cs="David"/>
          <w:b/>
          <w:bCs/>
          <w:sz w:val="24"/>
          <w:szCs w:val="24"/>
          <w:rtl/>
        </w:rPr>
        <w:t xml:space="preserve"> בהיעדר בחירה מפורשת של העובד. לפיכך, </w:t>
      </w:r>
      <w:r>
        <w:rPr>
          <w:rFonts w:ascii="David" w:hAnsi="David" w:cs="David"/>
          <w:b/>
          <w:bCs/>
          <w:sz w:val="24"/>
          <w:szCs w:val="24"/>
          <w:u w:val="single"/>
          <w:rtl/>
        </w:rPr>
        <w:t>לא ניתן לשנות תמהיל מוצרי חסכון פנסיוני של עמית קיים, ובכלל זה: שינוי תמהיל כתוצאה משינוי הסכם ברירת מחדל של מעבידו, ללא קבלת הסכמה מפורשת בכתב של העובד</w:t>
      </w:r>
      <w:r>
        <w:rPr>
          <w:rFonts w:ascii="David" w:hAnsi="David" w:cs="David"/>
          <w:b/>
          <w:bCs/>
          <w:sz w:val="24"/>
          <w:szCs w:val="24"/>
          <w:rtl/>
        </w:rPr>
        <w:t xml:space="preserve">, ולענין חובת הליך ייעוץ פנסיוני או שיווק פנסיוני </w:t>
      </w:r>
      <w:r>
        <w:rPr>
          <w:rFonts w:ascii="David" w:hAnsi="David" w:cs="David"/>
          <w:b/>
          <w:bCs/>
          <w:sz w:val="24"/>
          <w:szCs w:val="24"/>
          <w:rtl/>
        </w:rPr>
        <w:lastRenderedPageBreak/>
        <w:t xml:space="preserve">יחולו הוראות סעיף 3 לחוזר גופים מוסדיים 2008-9-18 שעניינו "צירוף עמיתים למוצר פנסיוני – הבהרה"   </w:t>
      </w:r>
    </w:p>
    <w:p w:rsidR="00DE1DD0" w:rsidRDefault="00DE1DD0" w:rsidP="00DE1DD0">
      <w:pPr>
        <w:pStyle w:val="ad"/>
        <w:spacing w:line="360" w:lineRule="auto"/>
        <w:ind w:left="566"/>
        <w:jc w:val="both"/>
        <w:rPr>
          <w:rFonts w:ascii="David" w:hAnsi="David" w:cs="David"/>
          <w:sz w:val="24"/>
          <w:szCs w:val="24"/>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והינה לפנינו הבהרה נוספת לפיה העברת התובע ממצב קיים אל הקרן הפנסיונית, חייב הסכמה מפורשת בכתב של התובע – הסכמה שכלל לא התבקשה בענייננו וממילא לא ניתנה.</w:t>
      </w:r>
    </w:p>
    <w:p w:rsidR="00DE1DD0" w:rsidRDefault="00DE1DD0" w:rsidP="00DE1DD0">
      <w:pPr>
        <w:pStyle w:val="ad"/>
        <w:rPr>
          <w:rFonts w:ascii="David" w:hAnsi="David" w:cs="David"/>
          <w:sz w:val="24"/>
          <w:szCs w:val="24"/>
          <w:rtl/>
        </w:rPr>
      </w:pPr>
    </w:p>
    <w:p w:rsidR="00081E3B" w:rsidRDefault="00081E3B" w:rsidP="00DE1DD0">
      <w:pPr>
        <w:pStyle w:val="ad"/>
        <w:rPr>
          <w:rFonts w:ascii="David" w:hAnsi="David" w:cs="David"/>
          <w:sz w:val="24"/>
          <w:szCs w:val="24"/>
          <w:rtl/>
        </w:rPr>
      </w:pPr>
    </w:p>
    <w:p w:rsidR="00DE1DD0" w:rsidRDefault="00DE1DD0" w:rsidP="00DE1DD0">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התייחסות לטענות הנתבעת בדבר "הסכם הרבים" או "הסדר הרבים" - הסכם בין מעסיק לקרן פנסיה בדבר הצטרפות לקרן ללא הליך חיתום</w:t>
      </w: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sz w:val="24"/>
          <w:szCs w:val="24"/>
          <w:rtl/>
        </w:rPr>
        <w:t>התקשרות בעסקאות ביטוח חיים, מחייבת ברגיל הליכי חיתום המתייחסים למצבו של המבוטח. הליכים אלה ובדיקת מצבו הרפואי של המבוטח וסיכונים שונים – עלולים להשפיע על גובה פרמיית הביטוח הנדרש, על היקף הכיסוי הביטוחי ולעיתים עלולים הליכי החיתום אף להביא למצב בו המבטח יסרב להעניק כיסוי ביטוחי.</w:t>
      </w:r>
    </w:p>
    <w:p w:rsidR="00DE1DD0" w:rsidRDefault="00DE1DD0" w:rsidP="00DE1DD0">
      <w:pPr>
        <w:pStyle w:val="ad"/>
        <w:spacing w:line="360" w:lineRule="auto"/>
        <w:ind w:left="566"/>
        <w:jc w:val="both"/>
        <w:rPr>
          <w:rFonts w:ascii="David" w:hAnsi="David" w:cs="David"/>
          <w:sz w:val="24"/>
          <w:szCs w:val="24"/>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וכך למשל, מבוטח פוטנציאלי הנמצא במצב בריאותי שאינו תקין, עלול למצוא עצמו נדרש לשלם פרמיית ביטוח גבוהה יותר מאשר מבוטח אחר; זאת ועוד, במקרים רבים מחריג המבטח את מצבו הקיים של המבוטח, כלומר המבטח לא מעניק כיסוי ביטוחי למחלות או כשלים בריאותיים קיימים; במקרים קיצוניים יותר – המבטח אף מסרב להעניק כיסוי ביטוחי בכלל, וזאת אף לא כנגד פרמיה מוגדלת ואף לא בהחרגות מסוימות.</w:t>
      </w:r>
    </w:p>
    <w:p w:rsidR="00DE1DD0" w:rsidRDefault="00DE1DD0" w:rsidP="00DE1DD0">
      <w:pPr>
        <w:pStyle w:val="ad"/>
        <w:spacing w:line="360" w:lineRule="auto"/>
        <w:ind w:left="926"/>
        <w:jc w:val="both"/>
        <w:rPr>
          <w:rFonts w:ascii="David" w:hAnsi="David" w:cs="David"/>
          <w:sz w:val="24"/>
          <w:szCs w:val="24"/>
          <w:rtl/>
        </w:rPr>
      </w:pP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sz w:val="24"/>
          <w:szCs w:val="24"/>
          <w:u w:val="single"/>
          <w:rtl/>
        </w:rPr>
        <w:t>הגדרת " הסכם רבים" כפי שהבהיר מנכ"ל הנתבעת</w:t>
      </w:r>
      <w:r>
        <w:rPr>
          <w:rFonts w:ascii="David" w:hAnsi="David" w:cs="David"/>
          <w:sz w:val="24"/>
          <w:szCs w:val="24"/>
          <w:rtl/>
        </w:rPr>
        <w:t xml:space="preserve"> - "הסכם רבים", כפי שהסביר מנכ"ל הנתבעת בתצהירו (סעיף 4.4, ההדגשות לא במקור) הוא </w:t>
      </w:r>
      <w:r>
        <w:rPr>
          <w:rFonts w:ascii="David" w:hAnsi="David" w:cs="David"/>
          <w:b/>
          <w:bCs/>
          <w:sz w:val="24"/>
          <w:szCs w:val="24"/>
          <w:rtl/>
        </w:rPr>
        <w:t>"הסכם הנחתם בין המעסיק לבין קרן הפנסיה אשר לפיו יצורפו עובדי המעסיק לקרן הפנסיה ללא צורך בהליך חיתום ובהתאם להתחייבות שתומצא לקרן ובה מפורטים פרטי העובדים ועברת דמי גמולים בגינם, בהתאם לתקנון הקרן"</w:t>
      </w:r>
      <w:r>
        <w:rPr>
          <w:rFonts w:ascii="David" w:hAnsi="David" w:cs="David"/>
          <w:sz w:val="24"/>
          <w:szCs w:val="24"/>
          <w:rtl/>
        </w:rPr>
        <w:t>.</w:t>
      </w:r>
    </w:p>
    <w:p w:rsidR="00DE1DD0" w:rsidRDefault="00DE1DD0" w:rsidP="00DE1DD0">
      <w:pPr>
        <w:pStyle w:val="ad"/>
        <w:spacing w:line="360" w:lineRule="auto"/>
        <w:ind w:left="926"/>
        <w:jc w:val="both"/>
        <w:rPr>
          <w:rFonts w:ascii="David" w:hAnsi="David" w:cs="David"/>
          <w:sz w:val="24"/>
          <w:szCs w:val="24"/>
        </w:rPr>
      </w:pPr>
    </w:p>
    <w:p w:rsidR="00DE1DD0" w:rsidRDefault="00DE1DD0" w:rsidP="00DE1DD0">
      <w:pPr>
        <w:pStyle w:val="ad"/>
        <w:numPr>
          <w:ilvl w:val="1"/>
          <w:numId w:val="1"/>
        </w:numPr>
        <w:spacing w:line="360" w:lineRule="auto"/>
        <w:ind w:left="566" w:hanging="708"/>
        <w:jc w:val="both"/>
        <w:rPr>
          <w:rFonts w:ascii="David" w:hAnsi="David" w:cs="David"/>
          <w:sz w:val="24"/>
          <w:szCs w:val="24"/>
          <w:rtl/>
        </w:rPr>
      </w:pPr>
      <w:r>
        <w:rPr>
          <w:rFonts w:ascii="David" w:hAnsi="David" w:cs="David"/>
          <w:sz w:val="24"/>
          <w:szCs w:val="24"/>
          <w:rtl/>
        </w:rPr>
        <w:t xml:space="preserve">כלומר, מדובר בהסכם שהצדדים לו הם המבטח והמעסיק. בהתאם להסכם זה, </w:t>
      </w:r>
      <w:r>
        <w:rPr>
          <w:rFonts w:ascii="David" w:hAnsi="David" w:cs="David"/>
          <w:sz w:val="24"/>
          <w:szCs w:val="24"/>
          <w:u w:val="single"/>
          <w:rtl/>
        </w:rPr>
        <w:t>לא</w:t>
      </w:r>
      <w:r>
        <w:rPr>
          <w:rFonts w:ascii="David" w:hAnsi="David" w:cs="David"/>
          <w:sz w:val="24"/>
          <w:szCs w:val="24"/>
          <w:rtl/>
        </w:rPr>
        <w:t xml:space="preserve"> עורכים בדיקות והליכי חיתום, אלא בפועל כל המבוטחים מקבלים כיסוי ביטוחי מותאם כנגד חיוב בפרמיה אחידה.</w:t>
      </w:r>
    </w:p>
    <w:p w:rsidR="00DE1DD0" w:rsidRDefault="00DE1DD0" w:rsidP="00DE1DD0">
      <w:pPr>
        <w:pStyle w:val="ad"/>
        <w:spacing w:line="360" w:lineRule="auto"/>
        <w:ind w:left="926"/>
        <w:jc w:val="both"/>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ואולם, "הסכם רבים" לא מפשיט את סוכן הביטוח מאחריותו המקצועית למבוטח ולכיסוי הביטוחי המוענק לו. העובדה שהמעסיק יחויב בפרמיה אחידה, ללא הליכי חיתום, לא מתירה לסוכן, מיניה וביה, להעביר מבוטח מכיסוי ביטוחי אחד לכיסוי ביטוחי אחר ללא עריכת כל הבדיקות הנדרשות ובכללן בדיקה האם לא חלב הרעה בכיסוי הביטוחי.</w:t>
      </w:r>
    </w:p>
    <w:p w:rsidR="00DE1DD0" w:rsidRDefault="00DE1DD0" w:rsidP="00DE1DD0">
      <w:pPr>
        <w:pStyle w:val="ad"/>
        <w:spacing w:line="360" w:lineRule="auto"/>
        <w:ind w:left="926"/>
        <w:jc w:val="both"/>
        <w:rPr>
          <w:rFonts w:ascii="David" w:hAnsi="David" w:cs="David"/>
          <w:sz w:val="24"/>
          <w:szCs w:val="24"/>
          <w:rtl/>
        </w:rPr>
      </w:pPr>
    </w:p>
    <w:p w:rsidR="00DE1DD0" w:rsidRDefault="00DE1DD0" w:rsidP="00DE1DD0">
      <w:pPr>
        <w:pStyle w:val="ad"/>
        <w:numPr>
          <w:ilvl w:val="1"/>
          <w:numId w:val="1"/>
        </w:numPr>
        <w:spacing w:line="360" w:lineRule="auto"/>
        <w:ind w:left="566" w:hanging="708"/>
        <w:jc w:val="both"/>
        <w:rPr>
          <w:rFonts w:ascii="David" w:hAnsi="David" w:cs="David"/>
          <w:sz w:val="24"/>
          <w:szCs w:val="24"/>
          <w:rtl/>
        </w:rPr>
      </w:pPr>
      <w:r>
        <w:rPr>
          <w:rFonts w:ascii="David" w:hAnsi="David" w:cs="David"/>
          <w:sz w:val="24"/>
          <w:szCs w:val="24"/>
          <w:rtl/>
        </w:rPr>
        <w:t xml:space="preserve">הנתבעת עירבה ובלבלה בין קיומו של "הסכם רבים" בין המעסיק לבין המבטח, לבין קיומה של החובה המקצועית לשמירה על הכיסוי הביטוחי למבוטח. על כך למדים גם מתשובתו של מנכ"ל הנתבעת אשר סבר למעשה שאינו אחראי לכיסוי הביטוחי ולפגיעה בו, וזאת מכיוון שההתקשרות </w:t>
      </w:r>
      <w:r>
        <w:rPr>
          <w:rFonts w:ascii="David" w:hAnsi="David" w:cs="David"/>
          <w:sz w:val="24"/>
          <w:szCs w:val="24"/>
          <w:rtl/>
        </w:rPr>
        <w:lastRenderedPageBreak/>
        <w:t xml:space="preserve">בין המעסיק לבין המבטח נעשתה במסגרת "הסכם רבים". לענין זה נשאל והשיב מנכ"ל הנתבעת (ע"מ 78, ש' 2-6, ההדגשות לא במקור): </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 xml:space="preserve">תאשר לי בבקשה </w:t>
      </w:r>
      <w:bookmarkStart w:id="43" w:name="_ETM_Q_1490697"/>
      <w:bookmarkEnd w:id="43"/>
      <w:r>
        <w:rPr>
          <w:rFonts w:cs="David"/>
          <w:sz w:val="24"/>
          <w:szCs w:val="24"/>
          <w:u w:val="none"/>
          <w:rtl/>
        </w:rPr>
        <w:t>שהתובע לא חתם על טופס השוואה, מסמך השוואה בין התוכניות?</w:t>
      </w:r>
    </w:p>
    <w:p w:rsidR="00DE1DD0" w:rsidRDefault="00DE1DD0" w:rsidP="00DE1DD0">
      <w:pPr>
        <w:pStyle w:val="10"/>
        <w:shd w:val="clear" w:color="auto" w:fill="auto"/>
        <w:spacing w:line="360" w:lineRule="auto"/>
        <w:ind w:left="3401" w:hanging="1792"/>
        <w:jc w:val="both"/>
        <w:rPr>
          <w:rFonts w:cs="David"/>
          <w:sz w:val="24"/>
          <w:szCs w:val="24"/>
          <w:u w:val="none"/>
        </w:rPr>
      </w:pPr>
      <w:r>
        <w:rPr>
          <w:rFonts w:cs="David"/>
          <w:sz w:val="24"/>
          <w:szCs w:val="24"/>
          <w:u w:val="none"/>
          <w:rtl/>
        </w:rPr>
        <w:t>העד, מר חייטמן:</w:t>
      </w:r>
      <w:r>
        <w:rPr>
          <w:rFonts w:cs="David"/>
          <w:sz w:val="24"/>
          <w:szCs w:val="24"/>
          <w:u w:val="none"/>
          <w:rtl/>
        </w:rPr>
        <w:tab/>
        <w:t>בוודאי</w:t>
      </w:r>
      <w:bookmarkStart w:id="44" w:name="_ETM_Q_1495654"/>
      <w:bookmarkEnd w:id="44"/>
      <w:r>
        <w:rPr>
          <w:rFonts w:cs="David"/>
          <w:sz w:val="24"/>
          <w:szCs w:val="24"/>
          <w:u w:val="none"/>
          <w:rtl/>
        </w:rPr>
        <w:t xml:space="preserve"> שכן, </w:t>
      </w:r>
      <w:r>
        <w:rPr>
          <w:rFonts w:cs="David"/>
          <w:sz w:val="24"/>
          <w:szCs w:val="24"/>
          <w:rtl/>
        </w:rPr>
        <w:t>מאשר שלא חתם</w:t>
      </w:r>
      <w:r>
        <w:rPr>
          <w:rFonts w:cs="David"/>
          <w:sz w:val="24"/>
          <w:szCs w:val="24"/>
          <w:u w:val="none"/>
          <w:rtl/>
        </w:rPr>
        <w:t>.</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עו"ד דיין דובב:</w:t>
      </w:r>
      <w:r>
        <w:rPr>
          <w:rFonts w:cs="David"/>
          <w:sz w:val="24"/>
          <w:szCs w:val="24"/>
          <w:u w:val="none"/>
          <w:rtl/>
        </w:rPr>
        <w:tab/>
        <w:t>לא חתם. אתה תאשר לי בבקשה שלא</w:t>
      </w:r>
      <w:bookmarkStart w:id="45" w:name="_ETM_Q_1499389"/>
      <w:bookmarkEnd w:id="45"/>
      <w:r>
        <w:rPr>
          <w:rFonts w:cs="David"/>
          <w:sz w:val="24"/>
          <w:szCs w:val="24"/>
          <w:u w:val="none"/>
          <w:rtl/>
        </w:rPr>
        <w:t xml:space="preserve"> מולא לו טופס הנמקה? </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r>
      <w:r>
        <w:rPr>
          <w:rFonts w:cs="David"/>
          <w:sz w:val="24"/>
          <w:szCs w:val="24"/>
          <w:rtl/>
        </w:rPr>
        <w:t>בוודאי, כי זה היה הסכם רבים</w:t>
      </w:r>
    </w:p>
    <w:p w:rsidR="00DE1DD0" w:rsidRDefault="00DE1DD0" w:rsidP="00DE1DD0">
      <w:pPr>
        <w:pStyle w:val="ad"/>
        <w:rPr>
          <w:rFonts w:ascii="David" w:hAnsi="David" w:cs="David"/>
          <w:sz w:val="24"/>
          <w:szCs w:val="24"/>
          <w:rtl/>
        </w:rPr>
      </w:pPr>
    </w:p>
    <w:p w:rsidR="00DE1DD0" w:rsidRDefault="00DE1DD0" w:rsidP="00DE1DD0">
      <w:pPr>
        <w:pStyle w:val="ad"/>
        <w:spacing w:line="360" w:lineRule="auto"/>
        <w:ind w:left="566"/>
        <w:jc w:val="both"/>
        <w:rPr>
          <w:rFonts w:ascii="David" w:hAnsi="David" w:cs="David"/>
          <w:sz w:val="24"/>
          <w:szCs w:val="24"/>
          <w:rtl/>
        </w:rPr>
      </w:pPr>
      <w:r>
        <w:rPr>
          <w:rFonts w:ascii="David" w:hAnsi="David" w:cs="David"/>
          <w:sz w:val="24"/>
          <w:szCs w:val="24"/>
          <w:rtl/>
        </w:rPr>
        <w:t xml:space="preserve">במלוא הכבוד – אין כל קשר בין ההטבה של המבטח המוותר על הליכי חיתום לבין החובה המקצועית למבוטח. </w:t>
      </w:r>
      <w:r>
        <w:rPr>
          <w:rFonts w:ascii="David" w:hAnsi="David" w:cs="David"/>
          <w:sz w:val="24"/>
          <w:szCs w:val="24"/>
          <w:u w:val="single"/>
          <w:rtl/>
        </w:rPr>
        <w:t>אכן</w:t>
      </w:r>
      <w:r>
        <w:rPr>
          <w:rFonts w:ascii="David" w:hAnsi="David" w:cs="David"/>
          <w:sz w:val="24"/>
          <w:szCs w:val="24"/>
          <w:rtl/>
        </w:rPr>
        <w:t xml:space="preserve">, הסכם רבים מסיר את הליכי החיתום הנוהגים אצל המבטח. </w:t>
      </w:r>
      <w:r>
        <w:rPr>
          <w:rFonts w:ascii="David" w:hAnsi="David" w:cs="David"/>
          <w:sz w:val="24"/>
          <w:szCs w:val="24"/>
          <w:u w:val="single"/>
          <w:rtl/>
        </w:rPr>
        <w:t>ואולם</w:t>
      </w:r>
      <w:r>
        <w:rPr>
          <w:rFonts w:ascii="David" w:hAnsi="David" w:cs="David"/>
          <w:sz w:val="24"/>
          <w:szCs w:val="24"/>
          <w:rtl/>
        </w:rPr>
        <w:t xml:space="preserve"> – </w:t>
      </w:r>
      <w:r>
        <w:rPr>
          <w:rFonts w:ascii="David" w:hAnsi="David" w:cs="David"/>
          <w:sz w:val="24"/>
          <w:szCs w:val="24"/>
          <w:u w:val="single"/>
          <w:rtl/>
        </w:rPr>
        <w:t>הסכם רבים אינו מסיר את חובתו המקצועית של הסוכן כלפי המבוטח</w:t>
      </w:r>
      <w:r>
        <w:rPr>
          <w:rFonts w:ascii="David" w:hAnsi="David" w:cs="David"/>
          <w:sz w:val="24"/>
          <w:szCs w:val="24"/>
          <w:rtl/>
        </w:rPr>
        <w:t>. חובה לבדוק, להימנע ולהתריע מפני כל מצב של הרעה בכיסוי הביטוחי.</w:t>
      </w:r>
    </w:p>
    <w:p w:rsidR="00DE1DD0" w:rsidRDefault="00DE1DD0" w:rsidP="00DE1DD0">
      <w:pPr>
        <w:pStyle w:val="ad"/>
        <w:rPr>
          <w:rFonts w:ascii="David" w:hAnsi="David" w:cs="David"/>
          <w:sz w:val="24"/>
          <w:szCs w:val="24"/>
          <w:rtl/>
        </w:rPr>
      </w:pPr>
    </w:p>
    <w:p w:rsidR="00DE1DD0" w:rsidRDefault="00DE1DD0" w:rsidP="00DE1DD0">
      <w:pPr>
        <w:pStyle w:val="ad"/>
        <w:rPr>
          <w:rFonts w:ascii="David" w:hAnsi="David" w:cs="David"/>
          <w:sz w:val="24"/>
          <w:szCs w:val="24"/>
          <w:rtl/>
        </w:rPr>
      </w:pPr>
    </w:p>
    <w:p w:rsidR="00DE1DD0" w:rsidRDefault="00081E3B" w:rsidP="00081E3B">
      <w:pPr>
        <w:pStyle w:val="ad"/>
        <w:numPr>
          <w:ilvl w:val="0"/>
          <w:numId w:val="1"/>
        </w:numPr>
        <w:spacing w:line="360" w:lineRule="auto"/>
        <w:ind w:left="-172" w:hanging="284"/>
        <w:jc w:val="both"/>
        <w:rPr>
          <w:rFonts w:ascii="David" w:hAnsi="David" w:cs="David"/>
          <w:sz w:val="24"/>
          <w:szCs w:val="24"/>
        </w:rPr>
      </w:pPr>
      <w:r>
        <w:rPr>
          <w:rFonts w:ascii="David" w:hAnsi="David" w:cs="David" w:hint="cs"/>
          <w:b/>
          <w:bCs/>
          <w:sz w:val="24"/>
          <w:szCs w:val="24"/>
          <w:u w:val="single"/>
          <w:rtl/>
        </w:rPr>
        <w:t>אבדן כושר העבודה של התובע וה</w:t>
      </w:r>
      <w:r w:rsidR="00DE1DD0">
        <w:rPr>
          <w:rFonts w:ascii="David" w:hAnsi="David" w:cs="David"/>
          <w:b/>
          <w:bCs/>
          <w:sz w:val="24"/>
          <w:szCs w:val="24"/>
          <w:u w:val="single"/>
          <w:rtl/>
        </w:rPr>
        <w:t>נזק שנגרם לו</w:t>
      </w:r>
    </w:p>
    <w:p w:rsidR="00081E3B" w:rsidRDefault="00081E3B" w:rsidP="00081E3B">
      <w:pPr>
        <w:pStyle w:val="ad"/>
        <w:spacing w:line="360" w:lineRule="auto"/>
        <w:ind w:left="-172"/>
        <w:jc w:val="both"/>
        <w:rPr>
          <w:rFonts w:ascii="David" w:hAnsi="David" w:cs="David"/>
          <w:sz w:val="24"/>
          <w:szCs w:val="24"/>
          <w:rtl/>
        </w:rPr>
      </w:pPr>
    </w:p>
    <w:p w:rsidR="00DE1DD0" w:rsidRDefault="00DE1DD0" w:rsidP="00DE1DD0">
      <w:pPr>
        <w:pStyle w:val="ad"/>
        <w:numPr>
          <w:ilvl w:val="1"/>
          <w:numId w:val="1"/>
        </w:numPr>
        <w:spacing w:line="360" w:lineRule="auto"/>
        <w:ind w:left="566" w:hanging="708"/>
        <w:jc w:val="both"/>
        <w:rPr>
          <w:rFonts w:ascii="David" w:hAnsi="David" w:cs="David"/>
          <w:sz w:val="24"/>
          <w:szCs w:val="24"/>
        </w:rPr>
      </w:pPr>
      <w:r>
        <w:rPr>
          <w:rFonts w:ascii="David" w:hAnsi="David" w:cs="David"/>
          <w:b/>
          <w:bCs/>
          <w:sz w:val="24"/>
          <w:szCs w:val="24"/>
          <w:u w:val="single"/>
          <w:rtl/>
        </w:rPr>
        <w:t>אבדן כושר העבודה של התובע</w:t>
      </w:r>
    </w:p>
    <w:p w:rsidR="00DE1DD0" w:rsidRDefault="00DE1DD0" w:rsidP="00DE1DD0">
      <w:pPr>
        <w:pStyle w:val="ad"/>
        <w:numPr>
          <w:ilvl w:val="0"/>
          <w:numId w:val="12"/>
        </w:numPr>
        <w:spacing w:line="360" w:lineRule="auto"/>
        <w:jc w:val="both"/>
        <w:rPr>
          <w:rFonts w:ascii="David" w:hAnsi="David" w:cs="David"/>
          <w:sz w:val="24"/>
          <w:szCs w:val="24"/>
        </w:rPr>
      </w:pPr>
      <w:r>
        <w:rPr>
          <w:rFonts w:ascii="David" w:hAnsi="David" w:cs="David"/>
          <w:sz w:val="24"/>
          <w:szCs w:val="24"/>
          <w:rtl/>
        </w:rPr>
        <w:t xml:space="preserve">התובע אכן נמצא במצב של אבדן כושר עבודה. לענין זה מונה מומחה בית משפט, ד"ר אלכס גודקין, אשר חיווה דעתו לפיה </w:t>
      </w:r>
      <w:r>
        <w:rPr>
          <w:rFonts w:ascii="David" w:hAnsi="David" w:cs="David"/>
          <w:b/>
          <w:bCs/>
          <w:sz w:val="24"/>
          <w:szCs w:val="24"/>
          <w:rtl/>
        </w:rPr>
        <w:t>"יש להכיר אצל מר שוסטר באובדן כושר עבודה מלא בשיעור מעל 75% מאז חודש 12.2018 ואילך"</w:t>
      </w:r>
      <w:r>
        <w:rPr>
          <w:rFonts w:ascii="David" w:hAnsi="David" w:cs="David"/>
          <w:sz w:val="24"/>
          <w:szCs w:val="24"/>
          <w:rtl/>
        </w:rPr>
        <w:t>.</w:t>
      </w:r>
    </w:p>
    <w:p w:rsidR="00DE1DD0" w:rsidRDefault="00DE1DD0" w:rsidP="00DE1DD0">
      <w:pPr>
        <w:pStyle w:val="ad"/>
        <w:spacing w:line="360" w:lineRule="auto"/>
        <w:ind w:left="926"/>
        <w:jc w:val="both"/>
        <w:rPr>
          <w:rFonts w:ascii="David" w:hAnsi="David" w:cs="David"/>
          <w:sz w:val="24"/>
          <w:szCs w:val="24"/>
        </w:rPr>
      </w:pPr>
    </w:p>
    <w:p w:rsidR="00DE1DD0" w:rsidRDefault="00DE1DD0" w:rsidP="00DE1DD0">
      <w:pPr>
        <w:pStyle w:val="ad"/>
        <w:numPr>
          <w:ilvl w:val="0"/>
          <w:numId w:val="12"/>
        </w:numPr>
        <w:spacing w:line="360" w:lineRule="auto"/>
        <w:jc w:val="both"/>
        <w:rPr>
          <w:rFonts w:ascii="David" w:hAnsi="David" w:cs="David"/>
          <w:sz w:val="24"/>
          <w:szCs w:val="24"/>
        </w:rPr>
      </w:pPr>
      <w:r>
        <w:rPr>
          <w:rFonts w:ascii="David" w:hAnsi="David" w:cs="David"/>
          <w:sz w:val="24"/>
          <w:szCs w:val="24"/>
          <w:rtl/>
        </w:rPr>
        <w:t>מומחה בית המשפט לא מצא את דרכו לאולם ומכאן גם לא נחקר בחקירה נגדית. בהחלטה המסכמת של דיון ה"הוכחות" ניתן צו להגשת סיכומי טענות, אך גם ניתנה אפשרות לכל אחד מהצדדים לבקש לקיים דיון נוסף בנוכחות המומחה. וכלשון סעיף 1 להחלטה:</w:t>
      </w:r>
    </w:p>
    <w:p w:rsidR="00DE1DD0" w:rsidRDefault="00DE1DD0" w:rsidP="00DE1DD0">
      <w:pPr>
        <w:pStyle w:val="ad"/>
        <w:rPr>
          <w:rFonts w:ascii="David" w:hAnsi="David" w:cs="David"/>
          <w:b/>
          <w:bCs/>
          <w:sz w:val="24"/>
          <w:szCs w:val="24"/>
        </w:rPr>
      </w:pPr>
    </w:p>
    <w:p w:rsidR="00DE1DD0" w:rsidRDefault="00DE1DD0" w:rsidP="00DE1DD0">
      <w:pPr>
        <w:pStyle w:val="ad"/>
        <w:spacing w:line="360" w:lineRule="auto"/>
        <w:ind w:left="1842"/>
        <w:jc w:val="both"/>
        <w:rPr>
          <w:rFonts w:ascii="David" w:hAnsi="David" w:cs="David"/>
          <w:b/>
          <w:bCs/>
          <w:sz w:val="24"/>
          <w:szCs w:val="24"/>
          <w:rtl/>
        </w:rPr>
      </w:pPr>
      <w:r>
        <w:rPr>
          <w:rFonts w:ascii="David" w:hAnsi="David" w:cs="David"/>
          <w:b/>
          <w:bCs/>
          <w:sz w:val="24"/>
          <w:szCs w:val="24"/>
          <w:rtl/>
        </w:rPr>
        <w:t xml:space="preserve">"מומחה בית המשפט לא התייצב. ניתן היה לראות מההתרחשות שבהתחלה נאמר שהגיע לבית משפט בויצמן, לאחר מכן נאמר שניתק את הטלפון. אינני יודע. אני כן יכול לדעת שהמומחה לא נמצא כאן. בשלב זה אתן החלטה להגשת סיכומי הצדדים, </w:t>
      </w:r>
      <w:r>
        <w:rPr>
          <w:rFonts w:ascii="David" w:hAnsi="David" w:cs="David"/>
          <w:b/>
          <w:bCs/>
          <w:sz w:val="24"/>
          <w:szCs w:val="24"/>
          <w:u w:val="single"/>
          <w:rtl/>
        </w:rPr>
        <w:t>ככל שמי מהצדדים יבקש בכל זאת לקיים דיון אליו יופיע מומחה בית המשפט יואיל להגיש בקשה זאת בכתב</w:t>
      </w:r>
      <w:r>
        <w:rPr>
          <w:rFonts w:ascii="David" w:hAnsi="David" w:cs="David"/>
          <w:b/>
          <w:bCs/>
          <w:sz w:val="24"/>
          <w:szCs w:val="24"/>
          <w:rtl/>
        </w:rPr>
        <w:t xml:space="preserve">, וכן לנמק האם לא ניתן לפתור את שאלת התייצבותו של המומחה בדרך של פנייה בשאלות הבהרה" </w:t>
      </w:r>
    </w:p>
    <w:p w:rsidR="00DE1DD0" w:rsidRDefault="00DE1DD0" w:rsidP="00DE1DD0">
      <w:pPr>
        <w:pStyle w:val="ad"/>
        <w:spacing w:line="360" w:lineRule="auto"/>
        <w:ind w:left="566"/>
        <w:jc w:val="both"/>
        <w:rPr>
          <w:rFonts w:ascii="David" w:hAnsi="David" w:cs="David"/>
          <w:sz w:val="24"/>
          <w:szCs w:val="24"/>
        </w:rPr>
      </w:pPr>
    </w:p>
    <w:p w:rsidR="00DE1DD0" w:rsidRDefault="00DE1DD0" w:rsidP="00DE1DD0">
      <w:pPr>
        <w:pStyle w:val="ad"/>
        <w:spacing w:line="360" w:lineRule="auto"/>
        <w:ind w:left="926"/>
        <w:jc w:val="both"/>
        <w:rPr>
          <w:rFonts w:ascii="David" w:hAnsi="David" w:cs="David"/>
          <w:sz w:val="24"/>
          <w:szCs w:val="24"/>
          <w:rtl/>
        </w:rPr>
      </w:pPr>
      <w:r>
        <w:rPr>
          <w:rFonts w:ascii="David" w:hAnsi="David" w:cs="David"/>
          <w:sz w:val="24"/>
          <w:szCs w:val="24"/>
          <w:rtl/>
        </w:rPr>
        <w:t xml:space="preserve">אף אחד מבעלי הדין </w:t>
      </w:r>
      <w:r>
        <w:rPr>
          <w:rFonts w:ascii="David" w:hAnsi="David" w:cs="David"/>
          <w:sz w:val="24"/>
          <w:szCs w:val="24"/>
          <w:u w:val="single"/>
          <w:rtl/>
        </w:rPr>
        <w:t>לא עתר לקיומו של דיון נוסף אשר בו ייחקר מומחה בית המשפט</w:t>
      </w:r>
      <w:r>
        <w:rPr>
          <w:rFonts w:ascii="David" w:hAnsi="David" w:cs="David"/>
          <w:sz w:val="24"/>
          <w:szCs w:val="24"/>
          <w:rtl/>
        </w:rPr>
        <w:t>. מכאן נותרנו עם חוות הדעת הקיימת ובה המסקנה לפיה התובע אכן סובל מאבדן כושר עבודה.</w:t>
      </w:r>
    </w:p>
    <w:p w:rsidR="00DE1DD0" w:rsidRDefault="00DE1DD0" w:rsidP="00DE1DD0">
      <w:pPr>
        <w:pStyle w:val="ad"/>
        <w:spacing w:line="360" w:lineRule="auto"/>
        <w:ind w:left="566"/>
        <w:jc w:val="both"/>
        <w:rPr>
          <w:rFonts w:ascii="David" w:hAnsi="David" w:cs="David"/>
          <w:sz w:val="24"/>
          <w:szCs w:val="24"/>
          <w:rtl/>
        </w:rPr>
      </w:pPr>
    </w:p>
    <w:p w:rsidR="00DE1DD0" w:rsidRDefault="00DE1DD0" w:rsidP="00DE1DD0">
      <w:pPr>
        <w:pStyle w:val="ad"/>
        <w:numPr>
          <w:ilvl w:val="0"/>
          <w:numId w:val="12"/>
        </w:numPr>
        <w:spacing w:line="360" w:lineRule="auto"/>
        <w:jc w:val="both"/>
        <w:rPr>
          <w:rFonts w:ascii="David" w:hAnsi="David" w:cs="David"/>
          <w:sz w:val="24"/>
          <w:szCs w:val="24"/>
          <w:rtl/>
        </w:rPr>
      </w:pPr>
      <w:r>
        <w:rPr>
          <w:rFonts w:ascii="David" w:hAnsi="David" w:cs="David"/>
          <w:sz w:val="24"/>
          <w:szCs w:val="24"/>
          <w:rtl/>
        </w:rPr>
        <w:t xml:space="preserve">מומחה בית המשפט לא מונה כמומחה מוסכם על הצדדים וכמובן אינו בגדר "מומחה מכריע" לצד זאת, מסקנות מומחה בית המשפט נחשבות כמסקנות אובייקטיביות, נטולות אינטרס </w:t>
      </w:r>
      <w:r>
        <w:rPr>
          <w:rFonts w:ascii="David" w:hAnsi="David" w:cs="David"/>
          <w:sz w:val="24"/>
          <w:szCs w:val="24"/>
          <w:rtl/>
        </w:rPr>
        <w:lastRenderedPageBreak/>
        <w:t>ותוך שהוא משמש כעיניים מקצועיות הבוחנות את המחלוקת שהובאה להכרעה. במקרה זה – העיניים המקצועיות הבוחנות האם התובע אכן נמצא במועדים הרלוונטיים לתביעה במצב של אבדן כושר עבודה.</w:t>
      </w:r>
    </w:p>
    <w:p w:rsidR="00DE1DD0" w:rsidRDefault="00DE1DD0" w:rsidP="00DE1DD0">
      <w:pPr>
        <w:pStyle w:val="ad"/>
        <w:spacing w:line="360" w:lineRule="auto"/>
        <w:ind w:left="926"/>
        <w:jc w:val="both"/>
        <w:rPr>
          <w:rFonts w:ascii="David" w:hAnsi="David" w:cs="David"/>
          <w:sz w:val="24"/>
          <w:szCs w:val="24"/>
        </w:rPr>
      </w:pPr>
    </w:p>
    <w:p w:rsidR="00DE1DD0" w:rsidRDefault="00DE1DD0" w:rsidP="00DE1DD0">
      <w:pPr>
        <w:pStyle w:val="ad"/>
        <w:spacing w:line="360" w:lineRule="auto"/>
        <w:ind w:left="926"/>
        <w:jc w:val="both"/>
        <w:rPr>
          <w:rFonts w:ascii="David" w:hAnsi="David" w:cs="David"/>
          <w:color w:val="000000"/>
          <w:rtl/>
        </w:rPr>
      </w:pPr>
      <w:r>
        <w:rPr>
          <w:rFonts w:ascii="David" w:hAnsi="David" w:cs="David"/>
          <w:sz w:val="24"/>
          <w:szCs w:val="24"/>
          <w:rtl/>
        </w:rPr>
        <w:t xml:space="preserve">בית משפט אינו חייב לאמץ את מסקנות המומחה שמונה על ידו, אך הלכה היא שמסקנות אלה יאומצו – אלא אם תובא </w:t>
      </w:r>
      <w:r>
        <w:rPr>
          <w:rFonts w:ascii="David" w:hAnsi="David" w:cs="David"/>
          <w:b/>
          <w:bCs/>
          <w:sz w:val="24"/>
          <w:szCs w:val="24"/>
          <w:rtl/>
        </w:rPr>
        <w:t>"סיבה בולטת לעין"</w:t>
      </w:r>
      <w:r>
        <w:rPr>
          <w:rFonts w:ascii="David" w:hAnsi="David" w:cs="David"/>
          <w:sz w:val="24"/>
          <w:szCs w:val="24"/>
          <w:rtl/>
        </w:rPr>
        <w:t xml:space="preserve"> לענין זה ר' רע"א 6290/14, </w:t>
      </w:r>
      <w:r>
        <w:rPr>
          <w:rFonts w:ascii="David" w:hAnsi="David" w:cs="David"/>
          <w:color w:val="000000"/>
          <w:u w:val="single"/>
          <w:rtl/>
        </w:rPr>
        <w:t>תשעה חודשים בע"מ נ' בנק דיסקונט</w:t>
      </w:r>
      <w:r>
        <w:rPr>
          <w:rFonts w:ascii="David" w:hAnsi="David" w:cs="David"/>
          <w:color w:val="000000"/>
          <w:rtl/>
        </w:rPr>
        <w:t> (השופטת א' חיות מיום 4/1/2015, ההדגשות לא במקור) שם נקבע כך - </w:t>
      </w:r>
      <w:r>
        <w:rPr>
          <w:rFonts w:ascii="David" w:hAnsi="David" w:cs="David"/>
          <w:b/>
          <w:bCs/>
          <w:color w:val="000000"/>
          <w:rtl/>
        </w:rPr>
        <w:t>"... ככלל יאמץ בית המשפט את ממצאי המומחה, למעט אם הוצגה </w:t>
      </w:r>
      <w:r>
        <w:rPr>
          <w:rFonts w:ascii="David" w:hAnsi="David" w:cs="David"/>
          <w:b/>
          <w:bCs/>
          <w:color w:val="000000"/>
          <w:u w:val="single"/>
          <w:rtl/>
        </w:rPr>
        <w:t>סיבה בולטת לעין</w:t>
      </w:r>
      <w:r>
        <w:rPr>
          <w:rFonts w:ascii="David" w:hAnsi="David" w:cs="David"/>
          <w:b/>
          <w:bCs/>
          <w:color w:val="000000"/>
          <w:rtl/>
        </w:rPr>
        <w:t> שלא לעשות כן"</w:t>
      </w:r>
      <w:r>
        <w:rPr>
          <w:rFonts w:ascii="David" w:hAnsi="David" w:cs="David"/>
          <w:color w:val="000000"/>
          <w:rtl/>
        </w:rPr>
        <w:t>;</w:t>
      </w:r>
      <w:r>
        <w:rPr>
          <w:rFonts w:ascii="David" w:hAnsi="David" w:cs="David"/>
          <w:sz w:val="24"/>
          <w:szCs w:val="24"/>
          <w:rtl/>
        </w:rPr>
        <w:t xml:space="preserve"> עוד ר' רע"א 8956/22, </w:t>
      </w:r>
      <w:r>
        <w:rPr>
          <w:rFonts w:ascii="David" w:hAnsi="David" w:cs="David"/>
          <w:color w:val="000000"/>
          <w:u w:val="single"/>
          <w:rtl/>
        </w:rPr>
        <w:t>אבנר פרידמן נ' עו"ד אביחי ורדי – בתפקידו ככונס הנכסים‏</w:t>
      </w:r>
      <w:r>
        <w:rPr>
          <w:rFonts w:ascii="David" w:hAnsi="David" w:cs="David"/>
          <w:color w:val="000000"/>
          <w:rtl/>
        </w:rPr>
        <w:t>  שם נקבע כי - </w:t>
      </w:r>
      <w:r>
        <w:rPr>
          <w:rFonts w:ascii="David" w:hAnsi="David" w:cs="David"/>
          <w:b/>
          <w:bCs/>
          <w:color w:val="000000"/>
          <w:rtl/>
        </w:rPr>
        <w:t>"... משהוגשה חוות דעתו המקצועית, בית המשפט ייטה לאמצה, בהיעדר סיבה משמעותית ובולטת שלא לעשות כן"</w:t>
      </w:r>
      <w:r>
        <w:rPr>
          <w:rFonts w:ascii="David" w:hAnsi="David" w:cs="David"/>
          <w:color w:val="000000"/>
          <w:rtl/>
        </w:rPr>
        <w:t>;</w:t>
      </w:r>
    </w:p>
    <w:p w:rsidR="00DE1DD0" w:rsidRDefault="00DE1DD0" w:rsidP="00DE1DD0">
      <w:pPr>
        <w:pStyle w:val="ad"/>
        <w:spacing w:line="360" w:lineRule="auto"/>
        <w:ind w:left="926"/>
        <w:jc w:val="both"/>
        <w:rPr>
          <w:rFonts w:ascii="Calibri" w:hAnsi="Calibri" w:cs="Calibri"/>
          <w:color w:val="000000"/>
          <w:rtl/>
        </w:rPr>
      </w:pPr>
      <w:r>
        <w:rPr>
          <w:rFonts w:ascii="David" w:hAnsi="David" w:cs="David"/>
          <w:color w:val="000000"/>
          <w:rtl/>
        </w:rPr>
        <w:t xml:space="preserve">וכן אפנה אל ע"א 6510/20, </w:t>
      </w:r>
      <w:r>
        <w:rPr>
          <w:rFonts w:ascii="David" w:hAnsi="David" w:cs="David"/>
          <w:color w:val="000000"/>
          <w:u w:val="single"/>
          <w:rtl/>
        </w:rPr>
        <w:t>דוד מזרחי נ' אהרון כהן</w:t>
      </w:r>
      <w:r>
        <w:rPr>
          <w:rFonts w:ascii="David" w:hAnsi="David" w:cs="David"/>
          <w:b/>
          <w:bCs/>
          <w:color w:val="000000"/>
          <w:rtl/>
        </w:rPr>
        <w:t> </w:t>
      </w:r>
      <w:r>
        <w:rPr>
          <w:rFonts w:ascii="David" w:hAnsi="David" w:cs="David"/>
          <w:color w:val="000000"/>
          <w:rtl/>
        </w:rPr>
        <w:t xml:space="preserve">(12.12.2021, הש' עמית והשופטות ד' ברק ארז, ע' ברון) שם נקבע כך (ההדגשות לא במקור) - </w:t>
      </w:r>
      <w:r>
        <w:rPr>
          <w:rFonts w:ascii="David" w:hAnsi="David" w:cs="David"/>
          <w:b/>
          <w:bCs/>
          <w:color w:val="000000"/>
          <w:rtl/>
        </w:rPr>
        <w:t>"הלכה ותיקה עמנו כי לא בנקל יסטה בית המשפט מחוות דעתו של מומחה מוסכם או מומחה מטעם בית המשפט, ו'סביר להניח שבית המשפט </w:t>
      </w:r>
      <w:r>
        <w:rPr>
          <w:rFonts w:ascii="David" w:hAnsi="David" w:cs="David"/>
          <w:b/>
          <w:bCs/>
          <w:color w:val="000000"/>
          <w:u w:val="single"/>
          <w:rtl/>
        </w:rPr>
        <w:t>יאמץ ממצאיו של המומחה אלא אם כן נראית סיבה בולטת לעין שלא לעשות זאת</w:t>
      </w:r>
      <w:r>
        <w:rPr>
          <w:rFonts w:ascii="David" w:hAnsi="David" w:cs="David"/>
          <w:b/>
          <w:bCs/>
          <w:color w:val="000000"/>
          <w:rtl/>
        </w:rPr>
        <w:t>'"</w:t>
      </w:r>
      <w:r>
        <w:rPr>
          <w:rFonts w:ascii="David" w:hAnsi="David" w:cs="David"/>
          <w:color w:val="000000"/>
          <w:rtl/>
        </w:rPr>
        <w:t>; להשלמה אפנה אל ע"א (מחוזי תל אביב יפו) 51617-10-19, </w:t>
      </w:r>
      <w:r>
        <w:rPr>
          <w:rFonts w:ascii="David" w:hAnsi="David" w:cs="David"/>
          <w:color w:val="000000"/>
          <w:u w:val="single"/>
          <w:rtl/>
        </w:rPr>
        <w:t>לויאלטי פתרונות בע"מ ואח' נ' עמדה סוכנות לביטוח (2004) בע"מ ואח'</w:t>
      </w:r>
      <w:r>
        <w:rPr>
          <w:rFonts w:ascii="David" w:hAnsi="David" w:cs="David"/>
          <w:color w:val="000000"/>
          <w:rtl/>
        </w:rPr>
        <w:t> (מיום 7/3/2021 הש' י' שבח, י' אטדגי וש' יעקובוביץ, ההדגשות לא במקור) שם נקבע -  "</w:t>
      </w:r>
      <w:r>
        <w:rPr>
          <w:rFonts w:ascii="David" w:hAnsi="David" w:cs="David"/>
          <w:b/>
          <w:bCs/>
          <w:color w:val="000000"/>
          <w:rtl/>
        </w:rPr>
        <w:t>משמונה מומחה מטעם בית המשפט, ייטה בית המשפט לאמץ את חוות דעתו, למעט  אם הוצגה </w:t>
      </w:r>
      <w:r>
        <w:rPr>
          <w:rFonts w:ascii="David" w:hAnsi="David" w:cs="David"/>
          <w:b/>
          <w:bCs/>
          <w:color w:val="000000"/>
          <w:u w:val="single"/>
          <w:rtl/>
        </w:rPr>
        <w:t>סיבה בולטת לעין</w:t>
      </w:r>
      <w:r>
        <w:rPr>
          <w:rFonts w:ascii="David" w:hAnsi="David" w:cs="David"/>
          <w:b/>
          <w:bCs/>
          <w:color w:val="000000"/>
          <w:rtl/>
        </w:rPr>
        <w:t> שלא לעשות כן"</w:t>
      </w:r>
      <w:r>
        <w:rPr>
          <w:rFonts w:ascii="David" w:hAnsi="David" w:cs="David"/>
          <w:color w:val="000000"/>
          <w:rtl/>
        </w:rPr>
        <w:t>.</w:t>
      </w:r>
    </w:p>
    <w:p w:rsidR="00DE1DD0" w:rsidRDefault="00DE1DD0" w:rsidP="00DE1DD0">
      <w:pPr>
        <w:pStyle w:val="ad"/>
        <w:spacing w:line="360" w:lineRule="auto"/>
        <w:ind w:left="926"/>
        <w:jc w:val="both"/>
        <w:rPr>
          <w:rFonts w:ascii="David" w:hAnsi="David" w:cs="David"/>
          <w:color w:val="000000"/>
          <w:rtl/>
        </w:rPr>
      </w:pPr>
    </w:p>
    <w:p w:rsidR="00DE1DD0" w:rsidRDefault="00DE1DD0" w:rsidP="00DE1DD0">
      <w:pPr>
        <w:pStyle w:val="ad"/>
        <w:spacing w:line="360" w:lineRule="auto"/>
        <w:ind w:left="926"/>
        <w:jc w:val="both"/>
        <w:rPr>
          <w:rFonts w:ascii="David" w:hAnsi="David" w:cs="David"/>
          <w:sz w:val="24"/>
          <w:szCs w:val="24"/>
          <w:rtl/>
        </w:rPr>
      </w:pPr>
      <w:r>
        <w:rPr>
          <w:rFonts w:ascii="David" w:hAnsi="David" w:cs="David"/>
          <w:color w:val="000000"/>
          <w:rtl/>
        </w:rPr>
        <w:t xml:space="preserve">בנוסף אפנה אל </w:t>
      </w:r>
      <w:r>
        <w:rPr>
          <w:rFonts w:ascii="David" w:hAnsi="David" w:cs="David"/>
          <w:sz w:val="24"/>
          <w:szCs w:val="24"/>
          <w:rtl/>
        </w:rPr>
        <w:t xml:space="preserve">ע"א 7019/22, </w:t>
      </w:r>
      <w:r>
        <w:rPr>
          <w:rFonts w:ascii="David" w:hAnsi="David" w:cs="David"/>
          <w:color w:val="000000"/>
          <w:u w:val="single"/>
          <w:rtl/>
        </w:rPr>
        <w:t>הפניקס חברה לביטוח בע"מ נ' פלוני</w:t>
      </w:r>
      <w:r>
        <w:rPr>
          <w:rFonts w:ascii="David" w:hAnsi="David" w:cs="David"/>
          <w:color w:val="000000"/>
          <w:rtl/>
        </w:rPr>
        <w:t xml:space="preserve"> (מיום 9/3/2023, הש' י' עמית, השופטת י' וילנר, השופטת ג' כנפי – שטייניץ); רע"א 4220/22, </w:t>
      </w:r>
      <w:r>
        <w:rPr>
          <w:rFonts w:ascii="David" w:hAnsi="David" w:cs="David"/>
          <w:color w:val="000000"/>
          <w:u w:val="single"/>
          <w:rtl/>
        </w:rPr>
        <w:t>פלוני נ' ד"ר יפעת וינר</w:t>
      </w:r>
      <w:r>
        <w:rPr>
          <w:rFonts w:ascii="David" w:hAnsi="David" w:cs="David"/>
          <w:color w:val="000000"/>
          <w:rtl/>
        </w:rPr>
        <w:t xml:space="preserve"> (מיום 28/6/2022, הש' י' עמית); רע"א 4824/20, </w:t>
      </w:r>
      <w:r>
        <w:rPr>
          <w:rFonts w:ascii="David" w:hAnsi="David" w:cs="David"/>
          <w:color w:val="000000"/>
          <w:u w:val="single"/>
          <w:rtl/>
        </w:rPr>
        <w:t>עיריית אשדוד נ' אדמת הצבי השקעות בע"מ</w:t>
      </w:r>
      <w:r>
        <w:rPr>
          <w:rFonts w:ascii="David" w:hAnsi="David" w:cs="David"/>
          <w:color w:val="000000"/>
          <w:rtl/>
        </w:rPr>
        <w:t> (מיום 9/9/20, הש' ע' גרוסקופף); ע"א 5681/19, </w:t>
      </w:r>
      <w:r>
        <w:rPr>
          <w:rFonts w:ascii="David" w:hAnsi="David" w:cs="David"/>
          <w:color w:val="000000"/>
          <w:u w:val="single"/>
          <w:rtl/>
        </w:rPr>
        <w:t> דאוד ח. אחזקות והשקעות בע"מ נ' דניה סיבוס בע"מ</w:t>
      </w:r>
      <w:r>
        <w:rPr>
          <w:rFonts w:ascii="David" w:hAnsi="David" w:cs="David"/>
          <w:color w:val="000000"/>
          <w:rtl/>
        </w:rPr>
        <w:t> (מיום 5/11/2020, הש' י' עמית, השופטת ד' ברק-ארז והש' ד' מינץ); רע"א 1941/19, </w:t>
      </w:r>
      <w:r>
        <w:rPr>
          <w:rFonts w:ascii="David" w:hAnsi="David" w:cs="David"/>
          <w:color w:val="000000"/>
          <w:u w:val="single"/>
          <w:rtl/>
        </w:rPr>
        <w:t>אסותא - מרכזים רפואיים נ' פלוני</w:t>
      </w:r>
      <w:r>
        <w:rPr>
          <w:rFonts w:ascii="David" w:hAnsi="David" w:cs="David"/>
          <w:color w:val="000000"/>
          <w:rtl/>
        </w:rPr>
        <w:t> (מיום 25/6/2019, הש' י' וילנר); רע"א 9828/17, </w:t>
      </w:r>
      <w:r>
        <w:rPr>
          <w:rFonts w:ascii="David" w:hAnsi="David" w:cs="David"/>
          <w:color w:val="000000"/>
          <w:u w:val="single"/>
          <w:rtl/>
        </w:rPr>
        <w:t>דרור אבני נגד ד. שליט בע"מ</w:t>
      </w:r>
      <w:r>
        <w:rPr>
          <w:rFonts w:ascii="David" w:hAnsi="David" w:cs="David"/>
          <w:color w:val="000000"/>
          <w:rtl/>
        </w:rPr>
        <w:t>  (מיום 18/1/2018, הש' י' וילנר); וכן ה"פ (מחוזי תל אביב), </w:t>
      </w:r>
      <w:r>
        <w:rPr>
          <w:rFonts w:ascii="David" w:hAnsi="David" w:cs="David"/>
          <w:color w:val="000000"/>
          <w:u w:val="single"/>
          <w:rtl/>
        </w:rPr>
        <w:t>הכפר הירוק ע"ש לוי אשכול בע"מ (חל"צ) נ' ועדה מקומית לתכנון רמת השרון ואח'</w:t>
      </w:r>
      <w:r>
        <w:rPr>
          <w:rFonts w:ascii="David" w:hAnsi="David" w:cs="David"/>
          <w:color w:val="000000"/>
          <w:rtl/>
        </w:rPr>
        <w:t> (מיום 23/2/2023, הש' נ' גרוסמן).</w:t>
      </w:r>
    </w:p>
    <w:p w:rsidR="00DE1DD0" w:rsidRDefault="00DE1DD0" w:rsidP="00DE1DD0">
      <w:pPr>
        <w:pStyle w:val="ad"/>
        <w:spacing w:line="360" w:lineRule="auto"/>
        <w:ind w:left="566"/>
        <w:jc w:val="both"/>
        <w:rPr>
          <w:rFonts w:ascii="David" w:hAnsi="David" w:cs="David"/>
          <w:sz w:val="24"/>
          <w:szCs w:val="24"/>
          <w:rtl/>
        </w:rPr>
      </w:pPr>
    </w:p>
    <w:p w:rsidR="00DE1DD0" w:rsidRDefault="00DE1DD0" w:rsidP="00DE1DD0">
      <w:pPr>
        <w:pStyle w:val="ad"/>
        <w:numPr>
          <w:ilvl w:val="0"/>
          <w:numId w:val="12"/>
        </w:numPr>
        <w:spacing w:line="360" w:lineRule="auto"/>
        <w:jc w:val="both"/>
        <w:rPr>
          <w:rFonts w:ascii="David" w:hAnsi="David" w:cs="David"/>
          <w:sz w:val="24"/>
          <w:szCs w:val="24"/>
          <w:rtl/>
        </w:rPr>
      </w:pPr>
      <w:r>
        <w:rPr>
          <w:rFonts w:ascii="David" w:hAnsi="David" w:cs="David"/>
          <w:sz w:val="24"/>
          <w:szCs w:val="24"/>
          <w:rtl/>
        </w:rPr>
        <w:t>בעניינינו חוות דעת מומחה בית המשפט נושאת את עצמה. ניתן לעקוב בחוות הדעת ולבחון אחר הנושאים שבדק המומחה, עוד פירטה חוות הדעת אודות נתונים עובדתיים רפואיים שונים ותוצאות בדיקות שנערכו לתובע, בהמשך מפרטת חוות הדעת את הקריטריונים השונים לפיהם נבחנת שאלת אבדן כושר עבודה – ולבסוף מגיעה למסקנה לפיה התובע אכן נמצא באבדן כושר עבודה וזאת החל מחודש דצמבר 2018. לא מצאתי כל "סיבה בולטת לעין" לדחות את מסקנות מומחה בית המשפט, וממילא הנתבע אף לא ביקש לחקור אותו ור' סעיף 7.1(ב) לעיל. מכאן – יש לקבל את מסקנות חוות הדעת ולקבוע שהתובע אכן נמצא במצב של אבדן כושר עבודה.</w:t>
      </w:r>
    </w:p>
    <w:p w:rsidR="00DE1DD0" w:rsidRDefault="00DE1DD0" w:rsidP="00DE1DD0">
      <w:pPr>
        <w:pStyle w:val="ad"/>
        <w:spacing w:line="360" w:lineRule="auto"/>
        <w:ind w:left="926"/>
        <w:jc w:val="both"/>
        <w:rPr>
          <w:rFonts w:ascii="David" w:hAnsi="David" w:cs="David"/>
          <w:sz w:val="24"/>
          <w:szCs w:val="24"/>
        </w:rPr>
      </w:pPr>
    </w:p>
    <w:p w:rsidR="00DE1DD0" w:rsidRDefault="00DE1DD0" w:rsidP="00DE1DD0">
      <w:pPr>
        <w:pStyle w:val="ad"/>
        <w:numPr>
          <w:ilvl w:val="1"/>
          <w:numId w:val="1"/>
        </w:numPr>
        <w:spacing w:line="360" w:lineRule="auto"/>
        <w:ind w:left="566" w:hanging="708"/>
        <w:jc w:val="both"/>
        <w:rPr>
          <w:rFonts w:ascii="David" w:hAnsi="David" w:cs="David"/>
          <w:sz w:val="24"/>
          <w:szCs w:val="24"/>
          <w:rtl/>
        </w:rPr>
      </w:pPr>
      <w:r>
        <w:rPr>
          <w:rFonts w:ascii="David" w:hAnsi="David" w:cs="David"/>
          <w:b/>
          <w:bCs/>
          <w:sz w:val="24"/>
          <w:szCs w:val="24"/>
          <w:u w:val="single"/>
          <w:rtl/>
        </w:rPr>
        <w:lastRenderedPageBreak/>
        <w:t>הנזק שנגרם</w:t>
      </w:r>
      <w:r>
        <w:rPr>
          <w:rFonts w:ascii="David" w:hAnsi="David" w:cs="David"/>
          <w:sz w:val="24"/>
          <w:szCs w:val="24"/>
          <w:rtl/>
        </w:rPr>
        <w:t xml:space="preserve"> </w:t>
      </w:r>
    </w:p>
    <w:p w:rsidR="00DE1DD0" w:rsidRDefault="00DE1DD0" w:rsidP="00DE1DD0">
      <w:pPr>
        <w:pStyle w:val="ad"/>
        <w:numPr>
          <w:ilvl w:val="0"/>
          <w:numId w:val="13"/>
        </w:numPr>
        <w:spacing w:line="360" w:lineRule="auto"/>
        <w:jc w:val="both"/>
        <w:rPr>
          <w:rFonts w:ascii="David" w:hAnsi="David" w:cs="David"/>
          <w:sz w:val="24"/>
          <w:szCs w:val="24"/>
          <w:rtl/>
        </w:rPr>
      </w:pPr>
      <w:r>
        <w:rPr>
          <w:rFonts w:ascii="David" w:hAnsi="David" w:cs="David"/>
          <w:sz w:val="24"/>
          <w:szCs w:val="24"/>
          <w:rtl/>
        </w:rPr>
        <w:t>הנזק שנגרם לתובע הוכח ונתמך אף בחוות הדעת של המומחה ניר שמאי מטעמו. התובע ניזוק בשל תקופת אכשרה בת שישה חודשים שנכפתה עליו במסגרת הביטוח באמצעות הקרן הפנסיונית.</w:t>
      </w:r>
    </w:p>
    <w:p w:rsidR="00DE1DD0" w:rsidRDefault="00DE1DD0" w:rsidP="00DE1DD0">
      <w:pPr>
        <w:pStyle w:val="ad"/>
        <w:spacing w:line="360" w:lineRule="auto"/>
        <w:ind w:left="566"/>
        <w:jc w:val="both"/>
        <w:rPr>
          <w:rFonts w:ascii="David" w:hAnsi="David" w:cs="David"/>
          <w:sz w:val="24"/>
          <w:szCs w:val="24"/>
          <w:rtl/>
        </w:rPr>
      </w:pPr>
    </w:p>
    <w:p w:rsidR="00DE1DD0" w:rsidRDefault="00DE1DD0" w:rsidP="00DE1DD0">
      <w:pPr>
        <w:pStyle w:val="ad"/>
        <w:numPr>
          <w:ilvl w:val="0"/>
          <w:numId w:val="13"/>
        </w:numPr>
        <w:spacing w:line="360" w:lineRule="auto"/>
        <w:jc w:val="both"/>
        <w:rPr>
          <w:rFonts w:ascii="David" w:hAnsi="David" w:cs="David"/>
          <w:sz w:val="24"/>
          <w:szCs w:val="24"/>
          <w:rtl/>
        </w:rPr>
      </w:pPr>
      <w:r>
        <w:rPr>
          <w:rFonts w:ascii="David" w:hAnsi="David" w:cs="David"/>
          <w:sz w:val="24"/>
          <w:szCs w:val="24"/>
          <w:rtl/>
        </w:rPr>
        <w:t>זאת ועוד – תחשיב הנזק התבסס על פוליסת הביטוח שהיתה לתובע במסגרת מנורה-מבטחים, טרם הועבר לקרן הפנסיונית. פרטי הפוליסה צורפו לראיות התובע, כאשר אליהם גם התייחס המומחה מטעם התובע – מר ירון שמאי.</w:t>
      </w:r>
    </w:p>
    <w:p w:rsidR="00DE1DD0" w:rsidRDefault="00DE1DD0" w:rsidP="00DE1DD0">
      <w:pPr>
        <w:pStyle w:val="ad"/>
        <w:spacing w:line="360" w:lineRule="auto"/>
        <w:ind w:left="566"/>
        <w:jc w:val="both"/>
        <w:rPr>
          <w:rFonts w:ascii="David" w:hAnsi="David" w:cs="David"/>
          <w:sz w:val="24"/>
          <w:szCs w:val="24"/>
          <w:rtl/>
        </w:rPr>
      </w:pPr>
    </w:p>
    <w:p w:rsidR="00DE1DD0" w:rsidRDefault="00DE1DD0" w:rsidP="00DE1DD0">
      <w:pPr>
        <w:pStyle w:val="ad"/>
        <w:numPr>
          <w:ilvl w:val="0"/>
          <w:numId w:val="13"/>
        </w:numPr>
        <w:spacing w:line="360" w:lineRule="auto"/>
        <w:jc w:val="both"/>
        <w:rPr>
          <w:rFonts w:ascii="David" w:hAnsi="David" w:cs="David"/>
          <w:sz w:val="24"/>
          <w:szCs w:val="24"/>
          <w:rtl/>
        </w:rPr>
      </w:pPr>
      <w:r>
        <w:rPr>
          <w:rFonts w:ascii="David" w:hAnsi="David" w:cs="David"/>
          <w:sz w:val="24"/>
          <w:szCs w:val="24"/>
          <w:rtl/>
        </w:rPr>
        <w:t xml:space="preserve">מנגד, טענה הנתבעת בין היתר שדרישת הפרמיה בגין אבדן כושר עבודה גדלה עם השנים. ומכאן – הפרמיה הקבועה ששולמה על ידי המעסיק היתה מביאה לכך שהכיסוי הביטוחי היה קטן עם השנים. טענה זו אינה רלוונטית לעניינינו שכן, כפי שהפנה התובע גם באמצעות המומחה מטעמו, הרי הוא זה שהיה נושא בהפרשי תשלום הפרמיה, עם הגדלת דרישתה.   </w:t>
      </w:r>
    </w:p>
    <w:p w:rsidR="00DE1DD0" w:rsidRDefault="00DE1DD0" w:rsidP="00DE1DD0">
      <w:pPr>
        <w:pStyle w:val="ad"/>
        <w:spacing w:line="360" w:lineRule="auto"/>
        <w:ind w:left="926"/>
        <w:jc w:val="both"/>
        <w:rPr>
          <w:rFonts w:ascii="David" w:hAnsi="David" w:cs="David"/>
          <w:sz w:val="24"/>
          <w:szCs w:val="24"/>
          <w:rtl/>
        </w:rPr>
      </w:pPr>
    </w:p>
    <w:p w:rsidR="00DE1DD0" w:rsidRDefault="00DE1DD0" w:rsidP="00DE1DD0">
      <w:pPr>
        <w:pStyle w:val="ad"/>
        <w:numPr>
          <w:ilvl w:val="0"/>
          <w:numId w:val="13"/>
        </w:numPr>
        <w:spacing w:line="360" w:lineRule="auto"/>
        <w:jc w:val="both"/>
        <w:rPr>
          <w:rFonts w:ascii="David" w:hAnsi="David" w:cs="David"/>
          <w:sz w:val="24"/>
          <w:szCs w:val="24"/>
        </w:rPr>
      </w:pPr>
      <w:r>
        <w:rPr>
          <w:rFonts w:ascii="David" w:hAnsi="David" w:cs="David"/>
          <w:sz w:val="24"/>
          <w:szCs w:val="24"/>
          <w:rtl/>
        </w:rPr>
        <w:t>הנתבעת גם טענה כנגד תחשיב סכום הכיסוי הביטוחי והוסיפה וטענה שבהתאם לבירור שערכה ודוא"ל שקיבלה – הרי סכום הכיסוי הביטוחי היה נמוך מאשר טוען לו התובע. הטענה הועלתה מהפה ולחוץ, תוך הפניה להתכתבות דוא"ל סתמית וללא כל מסמך רשמי של המבטח. לענין זה נשאל מנהל הנתבעת באשר למסמכים שכלל לא הוציא מהמבטח והודה כך (ע"מ 65, שורות 1-12, ההדגשות לא במקור):</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כב' הש' ברקאי:</w:t>
      </w:r>
      <w:r>
        <w:rPr>
          <w:rFonts w:cs="David"/>
          <w:sz w:val="24"/>
          <w:szCs w:val="24"/>
          <w:u w:val="none"/>
          <w:rtl/>
        </w:rPr>
        <w:tab/>
        <w:t>אז למה לא הוצאת מחברת הביטוח,</w:t>
      </w:r>
    </w:p>
    <w:p w:rsidR="00DE1DD0" w:rsidRDefault="00DE1DD0" w:rsidP="00DE1DD0">
      <w:pPr>
        <w:pStyle w:val="10"/>
        <w:shd w:val="clear" w:color="auto" w:fill="auto"/>
        <w:spacing w:line="360" w:lineRule="auto"/>
        <w:ind w:left="3401" w:hanging="1792"/>
        <w:jc w:val="both"/>
        <w:rPr>
          <w:rFonts w:cs="David"/>
          <w:sz w:val="24"/>
          <w:szCs w:val="24"/>
          <w:u w:val="none"/>
        </w:rPr>
      </w:pPr>
      <w:r>
        <w:rPr>
          <w:rFonts w:cs="David"/>
          <w:sz w:val="24"/>
          <w:szCs w:val="24"/>
          <w:u w:val="none"/>
          <w:rtl/>
        </w:rPr>
        <w:t>העד, מר חייטמן:</w:t>
      </w:r>
      <w:r>
        <w:rPr>
          <w:rFonts w:cs="David"/>
          <w:sz w:val="24"/>
          <w:szCs w:val="24"/>
          <w:u w:val="none"/>
          <w:rtl/>
        </w:rPr>
        <w:tab/>
        <w:t>הוצאנו מכתב, מצורף מכתב מחברת הביטוח.</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כב' הש' ברקאי:</w:t>
      </w:r>
      <w:r>
        <w:rPr>
          <w:rFonts w:cs="David"/>
          <w:sz w:val="24"/>
          <w:szCs w:val="24"/>
          <w:u w:val="none"/>
          <w:rtl/>
        </w:rPr>
        <w:tab/>
        <w:t xml:space="preserve">לא, לא מייל, כמו אותו, אותם דיווחים של 2012, משהו שהוא נותן למשל את הפרופורמה, לא פרופורמה, שנותן למשל מה היה ב2019. </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t>אנחנו (מדברים ביחד),</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כב' הש' ברקאי:</w:t>
      </w:r>
      <w:r>
        <w:rPr>
          <w:rFonts w:cs="David"/>
          <w:sz w:val="24"/>
          <w:szCs w:val="24"/>
          <w:u w:val="none"/>
          <w:rtl/>
        </w:rPr>
        <w:tab/>
        <w:t xml:space="preserve">2018 סליחה. </w:t>
      </w:r>
    </w:p>
    <w:p w:rsidR="00DE1DD0" w:rsidRDefault="00DE1DD0" w:rsidP="00DE1DD0">
      <w:pPr>
        <w:pStyle w:val="10"/>
        <w:shd w:val="clear" w:color="auto" w:fill="auto"/>
        <w:spacing w:line="360" w:lineRule="auto"/>
        <w:ind w:left="3401" w:hanging="1792"/>
        <w:jc w:val="both"/>
        <w:rPr>
          <w:rFonts w:cs="David"/>
          <w:sz w:val="24"/>
          <w:szCs w:val="24"/>
          <w:u w:val="none"/>
          <w:rtl/>
        </w:rPr>
      </w:pPr>
      <w:r>
        <w:rPr>
          <w:rFonts w:cs="David"/>
          <w:sz w:val="24"/>
          <w:szCs w:val="24"/>
          <w:u w:val="none"/>
          <w:rtl/>
        </w:rPr>
        <w:t>העד, מר חייטמן:</w:t>
      </w:r>
      <w:r>
        <w:rPr>
          <w:rFonts w:cs="David"/>
          <w:sz w:val="24"/>
          <w:szCs w:val="24"/>
          <w:u w:val="none"/>
          <w:rtl/>
        </w:rPr>
        <w:tab/>
        <w:t xml:space="preserve">כל העניין של 2019 התעורר אחרי התביעה. הפוליסה הייתה כבר, פדו את הפוליסה ואז </w:t>
      </w:r>
      <w:r>
        <w:rPr>
          <w:rFonts w:cs="David"/>
          <w:sz w:val="24"/>
          <w:szCs w:val="24"/>
          <w:rtl/>
        </w:rPr>
        <w:t>מהמערכת אי אפשר להוציא</w:t>
      </w:r>
      <w:r>
        <w:rPr>
          <w:rFonts w:cs="David"/>
          <w:sz w:val="24"/>
          <w:szCs w:val="24"/>
          <w:u w:val="none"/>
          <w:rtl/>
        </w:rPr>
        <w:t>. היו צריכים לעשות תחשיב והם עשו את התחשיב. התחשיב האחרון שהיה אישור זה על 2014. עכשיו אין כל בעיה כמו שאותה גברת נאוה שהיא עובדת גם היום בחברת הביטוח,</w:t>
      </w:r>
      <w:r>
        <w:rPr>
          <w:rFonts w:cs="David"/>
          <w:sz w:val="24"/>
          <w:szCs w:val="24"/>
          <w:rtl/>
        </w:rPr>
        <w:t xml:space="preserve"> אין בעיה לפנות אליה ולהגיד בסיכומים אם אפשר לצרף מכתב רסמי עם חותמת ולא דרך מייל שלה</w:t>
      </w:r>
      <w:r>
        <w:rPr>
          <w:rFonts w:cs="David"/>
          <w:sz w:val="24"/>
          <w:szCs w:val="24"/>
          <w:u w:val="none"/>
          <w:rtl/>
        </w:rPr>
        <w:t>.</w:t>
      </w:r>
    </w:p>
    <w:p w:rsidR="00DE1DD0" w:rsidRDefault="00DE1DD0" w:rsidP="00DE1DD0">
      <w:pPr>
        <w:pStyle w:val="ad"/>
        <w:spacing w:line="360" w:lineRule="auto"/>
        <w:ind w:left="-172"/>
        <w:jc w:val="both"/>
        <w:rPr>
          <w:rFonts w:ascii="David" w:hAnsi="David" w:cs="David"/>
          <w:sz w:val="24"/>
          <w:szCs w:val="24"/>
          <w:rtl/>
        </w:rPr>
      </w:pPr>
    </w:p>
    <w:p w:rsidR="00DE1DD0" w:rsidRDefault="00DE1DD0" w:rsidP="00DE1DD0">
      <w:pPr>
        <w:pStyle w:val="ad"/>
        <w:spacing w:line="360" w:lineRule="auto"/>
        <w:ind w:left="-172"/>
        <w:jc w:val="both"/>
        <w:rPr>
          <w:rFonts w:ascii="David" w:hAnsi="David" w:cs="David"/>
          <w:sz w:val="24"/>
          <w:szCs w:val="24"/>
          <w:rtl/>
        </w:rPr>
      </w:pPr>
      <w:r>
        <w:rPr>
          <w:rFonts w:ascii="David" w:hAnsi="David" w:cs="David"/>
          <w:sz w:val="24"/>
          <w:szCs w:val="24"/>
          <w:rtl/>
        </w:rPr>
        <w:lastRenderedPageBreak/>
        <w:t>אם כך</w:t>
      </w:r>
      <w:r>
        <w:rPr>
          <w:rFonts w:ascii="David" w:hAnsi="David" w:cs="David" w:hint="cs"/>
          <w:sz w:val="24"/>
          <w:szCs w:val="24"/>
          <w:rtl/>
        </w:rPr>
        <w:t xml:space="preserve">, לנתבעת - </w:t>
      </w:r>
      <w:r w:rsidRPr="00DE1DD0">
        <w:rPr>
          <w:rFonts w:ascii="David" w:hAnsi="David" w:cs="David"/>
          <w:b/>
          <w:bCs/>
          <w:sz w:val="24"/>
          <w:szCs w:val="24"/>
          <w:rtl/>
        </w:rPr>
        <w:t>'אין בעיה לפנות ולקבל מכתב רשמי (רסמי)'</w:t>
      </w:r>
      <w:r>
        <w:rPr>
          <w:rFonts w:ascii="David" w:hAnsi="David" w:cs="David"/>
          <w:sz w:val="24"/>
          <w:szCs w:val="24"/>
          <w:rtl/>
        </w:rPr>
        <w:t xml:space="preserve"> – אך בפועל לא היתה פניה, לא היתה כל אסמכתא רשמית, ולא הובאה שום הוכחה לטענות הנתבעת בדבר כיסוי ביטוחי שונה מזה שטען התובע ואשר הוכיח.</w:t>
      </w:r>
    </w:p>
    <w:p w:rsidR="00DE1DD0" w:rsidRDefault="00DE1DD0" w:rsidP="00DE1DD0">
      <w:pPr>
        <w:pStyle w:val="ad"/>
        <w:rPr>
          <w:rFonts w:ascii="David" w:hAnsi="David" w:cs="David"/>
          <w:sz w:val="24"/>
          <w:szCs w:val="24"/>
          <w:rtl/>
        </w:rPr>
      </w:pPr>
    </w:p>
    <w:p w:rsidR="00081E3B" w:rsidRDefault="00081E3B" w:rsidP="00DE1DD0">
      <w:pPr>
        <w:pStyle w:val="ad"/>
        <w:rPr>
          <w:rFonts w:ascii="David" w:hAnsi="David" w:cs="David"/>
          <w:sz w:val="24"/>
          <w:szCs w:val="24"/>
          <w:rtl/>
        </w:rPr>
      </w:pPr>
    </w:p>
    <w:p w:rsidR="00DE1DD0" w:rsidRPr="00DE1DD0" w:rsidRDefault="00DE1DD0" w:rsidP="00DE1DD0">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סוף דבר</w:t>
      </w:r>
    </w:p>
    <w:p w:rsidR="00081E3B" w:rsidRDefault="00DE1DD0" w:rsidP="00081E3B">
      <w:pPr>
        <w:pStyle w:val="ad"/>
        <w:spacing w:line="360" w:lineRule="auto"/>
        <w:ind w:left="-172"/>
        <w:jc w:val="both"/>
        <w:rPr>
          <w:rFonts w:ascii="David" w:hAnsi="David" w:cs="David"/>
          <w:sz w:val="24"/>
          <w:szCs w:val="24"/>
          <w:rtl/>
        </w:rPr>
      </w:pPr>
      <w:r>
        <w:rPr>
          <w:rFonts w:ascii="David" w:hAnsi="David" w:cs="David"/>
          <w:sz w:val="24"/>
          <w:szCs w:val="24"/>
          <w:rtl/>
        </w:rPr>
        <w:t>לאור האמור לעיל</w:t>
      </w:r>
      <w:r w:rsidR="00081E3B">
        <w:rPr>
          <w:rFonts w:ascii="David" w:hAnsi="David" w:cs="David" w:hint="cs"/>
          <w:sz w:val="24"/>
          <w:szCs w:val="24"/>
          <w:rtl/>
        </w:rPr>
        <w:t xml:space="preserve"> </w:t>
      </w:r>
      <w:r>
        <w:rPr>
          <w:rFonts w:ascii="David" w:hAnsi="David" w:cs="David"/>
          <w:sz w:val="24"/>
          <w:szCs w:val="24"/>
          <w:rtl/>
        </w:rPr>
        <w:t xml:space="preserve">התביעה מתקבלת בהתאם לסכום המופחת שבסיכומיה. </w:t>
      </w:r>
    </w:p>
    <w:p w:rsidR="00081E3B" w:rsidRDefault="00081E3B" w:rsidP="00081E3B">
      <w:pPr>
        <w:pStyle w:val="ad"/>
        <w:spacing w:line="360" w:lineRule="auto"/>
        <w:ind w:left="-172"/>
        <w:jc w:val="both"/>
        <w:rPr>
          <w:rFonts w:ascii="David" w:hAnsi="David" w:cs="David"/>
          <w:sz w:val="24"/>
          <w:szCs w:val="24"/>
          <w:rtl/>
        </w:rPr>
      </w:pPr>
    </w:p>
    <w:p w:rsidR="00694556" w:rsidRPr="00DE1DD0" w:rsidRDefault="00DE1DD0" w:rsidP="00081E3B">
      <w:pPr>
        <w:pStyle w:val="ad"/>
        <w:spacing w:line="360" w:lineRule="auto"/>
        <w:ind w:left="-172"/>
        <w:jc w:val="both"/>
        <w:rPr>
          <w:rFonts w:ascii="David" w:hAnsi="David" w:cs="David"/>
          <w:sz w:val="24"/>
          <w:szCs w:val="24"/>
          <w:rtl/>
        </w:rPr>
      </w:pPr>
      <w:r>
        <w:rPr>
          <w:rFonts w:ascii="David" w:hAnsi="David" w:cs="David"/>
          <w:sz w:val="24"/>
          <w:szCs w:val="24"/>
          <w:rtl/>
        </w:rPr>
        <w:t xml:space="preserve">אני מחייב את הנתבעת בתשלום הסך של </w:t>
      </w:r>
      <w:r>
        <w:rPr>
          <w:rFonts w:ascii="David" w:hAnsi="David" w:cs="David"/>
          <w:b/>
          <w:bCs/>
          <w:sz w:val="24"/>
          <w:szCs w:val="24"/>
          <w:u w:val="single"/>
          <w:rtl/>
        </w:rPr>
        <w:t xml:space="preserve">121,788 ₪ </w:t>
      </w:r>
      <w:r>
        <w:rPr>
          <w:rFonts w:ascii="David" w:hAnsi="David" w:cs="David"/>
          <w:sz w:val="24"/>
          <w:szCs w:val="24"/>
          <w:rtl/>
        </w:rPr>
        <w:t xml:space="preserve">בצירוף הפרשי הצמדה וריבית כחוק ממועד פסק הדין ועד למועד התשלום בפועל. בנוסף, אני מחייב את הנתבעת בתשלום הוצאות משפט ושכר טרחת עו"ד בסך כולל של </w:t>
      </w:r>
      <w:r>
        <w:rPr>
          <w:rFonts w:ascii="David" w:hAnsi="David" w:cs="David"/>
          <w:b/>
          <w:bCs/>
          <w:sz w:val="24"/>
          <w:szCs w:val="24"/>
          <w:u w:val="single"/>
          <w:rtl/>
        </w:rPr>
        <w:t>20,000 ₪</w:t>
      </w:r>
      <w:r>
        <w:rPr>
          <w:rFonts w:ascii="David" w:hAnsi="David" w:cs="David"/>
          <w:sz w:val="24"/>
          <w:szCs w:val="24"/>
          <w:rtl/>
        </w:rPr>
        <w:t xml:space="preserve"> בצירוף הפרשי הצמדה וריבית כחוק ממועד פסק הדין ועד למועד התשלום בפועל.</w:t>
      </w:r>
    </w:p>
    <w:p w:rsidR="00694556" w:rsidRDefault="00694556">
      <w:pPr>
        <w:spacing w:line="360" w:lineRule="auto"/>
        <w:jc w:val="both"/>
        <w:rPr>
          <w:rFonts w:ascii="Arial" w:hAnsi="Arial"/>
          <w:noProof w:val="0"/>
          <w:rtl/>
        </w:rPr>
      </w:pPr>
    </w:p>
    <w:p w:rsidR="00694556" w:rsidRDefault="0043502B" w:rsidP="00DE1DD0">
      <w:pPr>
        <w:spacing w:line="360" w:lineRule="auto"/>
        <w:ind w:left="-482"/>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sidR="00D54B61">
        <w:rPr>
          <w:rFonts w:hint="cs"/>
          <w:rtl/>
        </w:rPr>
        <w:t>ב</w:t>
      </w:r>
      <w:sdt>
        <w:sdtPr>
          <w:rPr>
            <w:rtl/>
          </w:rPr>
          <w:alias w:val="1455"/>
          <w:tag w:val="1455"/>
          <w:id w:val="1666048407"/>
          <w:text w:multiLine="1"/>
        </w:sdtPr>
        <w:sdtEndPr/>
        <w:sdtContent>
          <w:r>
            <w:rPr>
              <w:rFonts w:ascii="Arial" w:hAnsi="Arial"/>
              <w:noProof w:val="0"/>
              <w:rtl/>
            </w:rPr>
            <w:t>כ"ג כסלו תשפ"ה</w:t>
          </w:r>
        </w:sdtContent>
      </w:sdt>
      <w:r w:rsidR="00005C8B">
        <w:rPr>
          <w:rFonts w:ascii="Arial" w:hAnsi="Arial"/>
          <w:noProof w:val="0"/>
          <w:rtl/>
        </w:rPr>
        <w:t xml:space="preserve">, </w:t>
      </w:r>
      <w:r w:rsidR="00D54B61">
        <w:rPr>
          <w:rFonts w:ascii="Arial" w:hAnsi="Arial" w:hint="cs"/>
          <w:noProof w:val="0"/>
          <w:rtl/>
        </w:rPr>
        <w:t>ב</w:t>
      </w:r>
      <w:sdt>
        <w:sdtPr>
          <w:rPr>
            <w:rtl/>
          </w:rPr>
          <w:alias w:val="1456"/>
          <w:tag w:val="1456"/>
          <w:id w:val="-1186288958"/>
          <w:text w:multiLine="1"/>
        </w:sdtPr>
        <w:sdtEndPr/>
        <w:sdtContent>
          <w:r>
            <w:rPr>
              <w:rFonts w:ascii="Arial" w:hAnsi="Arial"/>
              <w:noProof w:val="0"/>
              <w:rtl/>
            </w:rPr>
            <w:t>24 דצמבר 2024</w:t>
          </w:r>
        </w:sdtContent>
      </w:sdt>
      <w:r w:rsidR="00005C8B">
        <w:rPr>
          <w:rFonts w:ascii="Arial" w:hAnsi="Arial"/>
          <w:noProof w:val="0"/>
          <w:rtl/>
        </w:rPr>
        <w:t>, בהעדר הצדדים.</w:t>
      </w:r>
    </w:p>
    <w:p w:rsidR="00C43648" w:rsidRDefault="001A51F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30569980"/>
        </w:sdtPr>
        <w:sdtEndPr/>
        <w:sdtContent>
          <w:r w:rsidR="005304B9">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143EA">
      <w:headerReference w:type="even" r:id="rId9"/>
      <w:headerReference w:type="default" r:id="rId10"/>
      <w:footerReference w:type="even" r:id="rId11"/>
      <w:footerReference w:type="default" r:id="rId12"/>
      <w:headerReference w:type="first" r:id="rId13"/>
      <w:footerReference w:type="first" r:id="rId14"/>
      <w:pgSz w:w="11907" w:h="16840" w:code="9"/>
      <w:pgMar w:top="1247" w:right="1588" w:bottom="1247" w:left="1588"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1F0" w:rsidRDefault="001A51F0">
      <w:r>
        <w:separator/>
      </w:r>
    </w:p>
  </w:endnote>
  <w:endnote w:type="continuationSeparator" w:id="0">
    <w:p w:rsidR="001A51F0" w:rsidRDefault="001A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DD0" w:rsidRDefault="00DE1DD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386327" w:rsidRDefault="000C3B60">
    <w:pPr>
      <w:pStyle w:val="a4"/>
      <w:jc w:val="center"/>
      <w:rPr>
        <w:rStyle w:val="ab"/>
      </w:rPr>
    </w:pPr>
    <w:r w:rsidRPr="00386327">
      <w:rPr>
        <w:rStyle w:val="ab"/>
      </w:rPr>
      <w:fldChar w:fldCharType="begin"/>
    </w:r>
    <w:r w:rsidR="00005C8B" w:rsidRPr="00386327">
      <w:rPr>
        <w:rStyle w:val="ab"/>
      </w:rPr>
      <w:instrText xml:space="preserve"> PAGE </w:instrText>
    </w:r>
    <w:r w:rsidRPr="00386327">
      <w:rPr>
        <w:rStyle w:val="ab"/>
      </w:rPr>
      <w:fldChar w:fldCharType="separate"/>
    </w:r>
    <w:r w:rsidR="00827D53">
      <w:rPr>
        <w:rStyle w:val="ab"/>
        <w:rtl/>
      </w:rPr>
      <w:t>1</w:t>
    </w:r>
    <w:r w:rsidRPr="00386327">
      <w:rPr>
        <w:rStyle w:val="ab"/>
      </w:rPr>
      <w:fldChar w:fldCharType="end"/>
    </w:r>
    <w:r w:rsidR="00005C8B" w:rsidRPr="00386327">
      <w:rPr>
        <w:rStyle w:val="ab"/>
        <w:rFonts w:hint="cs"/>
        <w:rtl/>
      </w:rPr>
      <w:t xml:space="preserve"> מתוך </w:t>
    </w:r>
    <w:r w:rsidRPr="00386327">
      <w:rPr>
        <w:rStyle w:val="ab"/>
      </w:rPr>
      <w:fldChar w:fldCharType="begin"/>
    </w:r>
    <w:r w:rsidR="00005C8B" w:rsidRPr="00386327">
      <w:rPr>
        <w:rStyle w:val="ab"/>
      </w:rPr>
      <w:instrText xml:space="preserve"> NUMPAGES </w:instrText>
    </w:r>
    <w:r w:rsidRPr="00386327">
      <w:rPr>
        <w:rStyle w:val="ab"/>
      </w:rPr>
      <w:fldChar w:fldCharType="separate"/>
    </w:r>
    <w:r w:rsidR="00827D53">
      <w:rPr>
        <w:rStyle w:val="ab"/>
        <w:rtl/>
      </w:rPr>
      <w:t>17</w:t>
    </w:r>
    <w:r w:rsidRPr="00386327">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DD0" w:rsidRDefault="00DE1DD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1F0" w:rsidRDefault="001A51F0">
      <w:r>
        <w:separator/>
      </w:r>
    </w:p>
  </w:footnote>
  <w:footnote w:type="continuationSeparator" w:id="0">
    <w:p w:rsidR="001A51F0" w:rsidRDefault="001A5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DD0" w:rsidRDefault="00DE1DD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8B64619" wp14:editId="63AC1D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1C5573">
      <w:trPr>
        <w:trHeight w:hRule="exact" w:val="510"/>
        <w:jc w:val="center"/>
      </w:trPr>
      <w:sdt>
        <w:sdtPr>
          <w:rPr>
            <w:rFonts w:ascii="Tahoma" w:hAnsi="Tahoma"/>
            <w:b/>
            <w:bCs/>
            <w:color w:val="000080"/>
            <w:sz w:val="32"/>
            <w:szCs w:val="32"/>
            <w:rtl/>
          </w:rPr>
          <w:alias w:val="1174"/>
          <w:tag w:val="1174"/>
          <w:id w:val="-1585920285"/>
          <w:text w:multiLine="1"/>
        </w:sdtPr>
        <w:sdtEndPr/>
        <w:sdtContent>
          <w:tc>
            <w:tcPr>
              <w:tcW w:w="8505" w:type="dxa"/>
            </w:tcPr>
            <w:p w:rsidR="001C5573" w:rsidRDefault="003D1C8C" w:rsidP="001C5573">
              <w:pPr>
                <w:pStyle w:val="a3"/>
                <w:jc w:val="center"/>
                <w:rPr>
                  <w:rFonts w:ascii="Tahoma" w:hAnsi="Tahoma"/>
                  <w:noProof w:val="0"/>
                  <w:color w:val="000080"/>
                  <w:sz w:val="32"/>
                  <w:szCs w:val="32"/>
                  <w:rtl/>
                </w:rPr>
              </w:pPr>
              <w:r w:rsidRPr="00FA4EAF">
                <w:rPr>
                  <w:rFonts w:ascii="Tahoma" w:hAnsi="Tahoma"/>
                  <w:b/>
                  <w:bCs/>
                  <w:color w:val="000080"/>
                  <w:sz w:val="32"/>
                  <w:szCs w:val="32"/>
                  <w:rtl/>
                </w:rPr>
                <w:t>בית משפט השלום בתל אביב -יפו</w:t>
              </w:r>
            </w:p>
            <w:p w:rsidR="00694556" w:rsidRPr="001C5573" w:rsidRDefault="00694556" w:rsidP="001C5573">
              <w:pPr>
                <w:tabs>
                  <w:tab w:val="left" w:pos="1421"/>
                </w:tabs>
                <w:rPr>
                  <w:rtl/>
                </w:rPr>
              </w:pPr>
            </w:p>
          </w:tc>
        </w:sdtContent>
      </w:sdt>
    </w:tr>
    <w:tr w:rsidR="00694556" w:rsidRPr="00FA4EAF" w:rsidTr="001C5573">
      <w:trPr>
        <w:trHeight w:val="337"/>
        <w:jc w:val="center"/>
      </w:trPr>
      <w:tc>
        <w:tcPr>
          <w:tcW w:w="8505" w:type="dxa"/>
        </w:tcPr>
        <w:p w:rsidR="007D45E3" w:rsidRPr="00FA4EAF" w:rsidRDefault="001A51F0" w:rsidP="00314311">
          <w:pPr>
            <w:rPr>
              <w:b/>
              <w:bCs/>
              <w:noProof w:val="0"/>
              <w:sz w:val="26"/>
              <w:szCs w:val="26"/>
              <w:rtl/>
            </w:rPr>
          </w:pPr>
          <w:sdt>
            <w:sdtPr>
              <w:rPr>
                <w:sz w:val="26"/>
                <w:szCs w:val="26"/>
                <w:rtl/>
              </w:rPr>
              <w:alias w:val="1170"/>
              <w:tag w:val="1170"/>
              <w:id w:val="1066377040"/>
              <w:text w:multiLine="1"/>
            </w:sdtPr>
            <w:sdtEndPr/>
            <w:sdtContent>
              <w:r w:rsidR="0016615E">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6615E">
                <w:rPr>
                  <w:b/>
                  <w:bCs/>
                  <w:noProof w:val="0"/>
                  <w:sz w:val="26"/>
                  <w:szCs w:val="26"/>
                  <w:rtl/>
                </w:rPr>
                <w:t>23246-08-20</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6615E">
                <w:rPr>
                  <w:b/>
                  <w:bCs/>
                  <w:noProof w:val="0"/>
                  <w:sz w:val="26"/>
                  <w:szCs w:val="26"/>
                  <w:rtl/>
                </w:rPr>
                <w:t>שוסטר נ' לביטוח בע"מ</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DD0" w:rsidRDefault="00DE1DD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40E77"/>
    <w:multiLevelType w:val="hybridMultilevel"/>
    <w:tmpl w:val="C304E9BE"/>
    <w:lvl w:ilvl="0" w:tplc="ACD6102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2061"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 w15:restartNumberingAfterBreak="0">
    <w:nsid w:val="1D091DFA"/>
    <w:multiLevelType w:val="hybridMultilevel"/>
    <w:tmpl w:val="CEA895F0"/>
    <w:lvl w:ilvl="0" w:tplc="7B84DCC6">
      <w:start w:val="1"/>
      <w:numFmt w:val="decimal"/>
      <w:lvlText w:val="(%1)"/>
      <w:lvlJc w:val="left"/>
      <w:pPr>
        <w:ind w:left="926" w:hanging="360"/>
      </w:pPr>
      <w:rPr>
        <w:b/>
        <w:bCs/>
      </w:rPr>
    </w:lvl>
    <w:lvl w:ilvl="1" w:tplc="04090019">
      <w:start w:val="1"/>
      <w:numFmt w:val="lowerLetter"/>
      <w:lvlText w:val="%2."/>
      <w:lvlJc w:val="left"/>
      <w:pPr>
        <w:ind w:left="1646" w:hanging="360"/>
      </w:pPr>
    </w:lvl>
    <w:lvl w:ilvl="2" w:tplc="0409001B">
      <w:start w:val="1"/>
      <w:numFmt w:val="lowerRoman"/>
      <w:lvlText w:val="%3."/>
      <w:lvlJc w:val="right"/>
      <w:pPr>
        <w:ind w:left="2366" w:hanging="180"/>
      </w:pPr>
    </w:lvl>
    <w:lvl w:ilvl="3" w:tplc="0409000F">
      <w:start w:val="1"/>
      <w:numFmt w:val="decimal"/>
      <w:lvlText w:val="%4."/>
      <w:lvlJc w:val="left"/>
      <w:pPr>
        <w:ind w:left="3086" w:hanging="360"/>
      </w:pPr>
    </w:lvl>
    <w:lvl w:ilvl="4" w:tplc="04090019">
      <w:start w:val="1"/>
      <w:numFmt w:val="lowerLetter"/>
      <w:lvlText w:val="%5."/>
      <w:lvlJc w:val="left"/>
      <w:pPr>
        <w:ind w:left="3806" w:hanging="360"/>
      </w:pPr>
    </w:lvl>
    <w:lvl w:ilvl="5" w:tplc="0409001B">
      <w:start w:val="1"/>
      <w:numFmt w:val="lowerRoman"/>
      <w:lvlText w:val="%6."/>
      <w:lvlJc w:val="right"/>
      <w:pPr>
        <w:ind w:left="4526" w:hanging="180"/>
      </w:pPr>
    </w:lvl>
    <w:lvl w:ilvl="6" w:tplc="0409000F">
      <w:start w:val="1"/>
      <w:numFmt w:val="decimal"/>
      <w:lvlText w:val="%7."/>
      <w:lvlJc w:val="left"/>
      <w:pPr>
        <w:ind w:left="5246" w:hanging="360"/>
      </w:pPr>
    </w:lvl>
    <w:lvl w:ilvl="7" w:tplc="04090019">
      <w:start w:val="1"/>
      <w:numFmt w:val="lowerLetter"/>
      <w:lvlText w:val="%8."/>
      <w:lvlJc w:val="left"/>
      <w:pPr>
        <w:ind w:left="5966" w:hanging="360"/>
      </w:pPr>
    </w:lvl>
    <w:lvl w:ilvl="8" w:tplc="0409001B">
      <w:start w:val="1"/>
      <w:numFmt w:val="lowerRoman"/>
      <w:lvlText w:val="%9."/>
      <w:lvlJc w:val="right"/>
      <w:pPr>
        <w:ind w:left="6686" w:hanging="180"/>
      </w:pPr>
    </w:lvl>
  </w:abstractNum>
  <w:abstractNum w:abstractNumId="3" w15:restartNumberingAfterBreak="0">
    <w:nsid w:val="20742E7C"/>
    <w:multiLevelType w:val="hybridMultilevel"/>
    <w:tmpl w:val="C7522FBC"/>
    <w:lvl w:ilvl="0" w:tplc="B89E192A">
      <w:start w:val="1"/>
      <w:numFmt w:val="hebrew1"/>
      <w:lvlText w:val="(%1)"/>
      <w:lvlJc w:val="left"/>
      <w:pPr>
        <w:ind w:left="926" w:hanging="360"/>
      </w:pPr>
    </w:lvl>
    <w:lvl w:ilvl="1" w:tplc="04090019">
      <w:start w:val="1"/>
      <w:numFmt w:val="lowerLetter"/>
      <w:lvlText w:val="%2."/>
      <w:lvlJc w:val="left"/>
      <w:pPr>
        <w:ind w:left="1646" w:hanging="360"/>
      </w:pPr>
    </w:lvl>
    <w:lvl w:ilvl="2" w:tplc="0409001B">
      <w:start w:val="1"/>
      <w:numFmt w:val="lowerRoman"/>
      <w:lvlText w:val="%3."/>
      <w:lvlJc w:val="right"/>
      <w:pPr>
        <w:ind w:left="2366" w:hanging="180"/>
      </w:pPr>
    </w:lvl>
    <w:lvl w:ilvl="3" w:tplc="0409000F">
      <w:start w:val="1"/>
      <w:numFmt w:val="decimal"/>
      <w:lvlText w:val="%4."/>
      <w:lvlJc w:val="left"/>
      <w:pPr>
        <w:ind w:left="3086" w:hanging="360"/>
      </w:pPr>
    </w:lvl>
    <w:lvl w:ilvl="4" w:tplc="04090019">
      <w:start w:val="1"/>
      <w:numFmt w:val="lowerLetter"/>
      <w:lvlText w:val="%5."/>
      <w:lvlJc w:val="left"/>
      <w:pPr>
        <w:ind w:left="3806" w:hanging="360"/>
      </w:pPr>
    </w:lvl>
    <w:lvl w:ilvl="5" w:tplc="0409001B">
      <w:start w:val="1"/>
      <w:numFmt w:val="lowerRoman"/>
      <w:lvlText w:val="%6."/>
      <w:lvlJc w:val="right"/>
      <w:pPr>
        <w:ind w:left="4526" w:hanging="180"/>
      </w:pPr>
    </w:lvl>
    <w:lvl w:ilvl="6" w:tplc="0409000F">
      <w:start w:val="1"/>
      <w:numFmt w:val="decimal"/>
      <w:lvlText w:val="%7."/>
      <w:lvlJc w:val="left"/>
      <w:pPr>
        <w:ind w:left="5246" w:hanging="360"/>
      </w:pPr>
    </w:lvl>
    <w:lvl w:ilvl="7" w:tplc="04090019">
      <w:start w:val="1"/>
      <w:numFmt w:val="lowerLetter"/>
      <w:lvlText w:val="%8."/>
      <w:lvlJc w:val="left"/>
      <w:pPr>
        <w:ind w:left="5966" w:hanging="360"/>
      </w:pPr>
    </w:lvl>
    <w:lvl w:ilvl="8" w:tplc="0409001B">
      <w:start w:val="1"/>
      <w:numFmt w:val="lowerRoman"/>
      <w:lvlText w:val="%9."/>
      <w:lvlJc w:val="right"/>
      <w:pPr>
        <w:ind w:left="6686" w:hanging="180"/>
      </w:pPr>
    </w:lvl>
  </w:abstractNum>
  <w:abstractNum w:abstractNumId="4" w15:restartNumberingAfterBreak="0">
    <w:nsid w:val="22277818"/>
    <w:multiLevelType w:val="hybridMultilevel"/>
    <w:tmpl w:val="71F6602A"/>
    <w:lvl w:ilvl="0" w:tplc="B89E192A">
      <w:start w:val="1"/>
      <w:numFmt w:val="hebrew1"/>
      <w:lvlText w:val="(%1)"/>
      <w:lvlJc w:val="left"/>
      <w:pPr>
        <w:ind w:left="926" w:hanging="360"/>
      </w:pPr>
    </w:lvl>
    <w:lvl w:ilvl="1" w:tplc="04090019">
      <w:start w:val="1"/>
      <w:numFmt w:val="lowerLetter"/>
      <w:lvlText w:val="%2."/>
      <w:lvlJc w:val="left"/>
      <w:pPr>
        <w:ind w:left="1646" w:hanging="360"/>
      </w:pPr>
    </w:lvl>
    <w:lvl w:ilvl="2" w:tplc="0409001B">
      <w:start w:val="1"/>
      <w:numFmt w:val="lowerRoman"/>
      <w:lvlText w:val="%3."/>
      <w:lvlJc w:val="right"/>
      <w:pPr>
        <w:ind w:left="2366" w:hanging="180"/>
      </w:pPr>
    </w:lvl>
    <w:lvl w:ilvl="3" w:tplc="0409000F">
      <w:start w:val="1"/>
      <w:numFmt w:val="decimal"/>
      <w:lvlText w:val="%4."/>
      <w:lvlJc w:val="left"/>
      <w:pPr>
        <w:ind w:left="3086" w:hanging="360"/>
      </w:pPr>
    </w:lvl>
    <w:lvl w:ilvl="4" w:tplc="04090019">
      <w:start w:val="1"/>
      <w:numFmt w:val="lowerLetter"/>
      <w:lvlText w:val="%5."/>
      <w:lvlJc w:val="left"/>
      <w:pPr>
        <w:ind w:left="3806" w:hanging="360"/>
      </w:pPr>
    </w:lvl>
    <w:lvl w:ilvl="5" w:tplc="0409001B">
      <w:start w:val="1"/>
      <w:numFmt w:val="lowerRoman"/>
      <w:lvlText w:val="%6."/>
      <w:lvlJc w:val="right"/>
      <w:pPr>
        <w:ind w:left="4526" w:hanging="180"/>
      </w:pPr>
    </w:lvl>
    <w:lvl w:ilvl="6" w:tplc="0409000F">
      <w:start w:val="1"/>
      <w:numFmt w:val="decimal"/>
      <w:lvlText w:val="%7."/>
      <w:lvlJc w:val="left"/>
      <w:pPr>
        <w:ind w:left="5246" w:hanging="360"/>
      </w:pPr>
    </w:lvl>
    <w:lvl w:ilvl="7" w:tplc="04090019">
      <w:start w:val="1"/>
      <w:numFmt w:val="lowerLetter"/>
      <w:lvlText w:val="%8."/>
      <w:lvlJc w:val="left"/>
      <w:pPr>
        <w:ind w:left="5966" w:hanging="360"/>
      </w:pPr>
    </w:lvl>
    <w:lvl w:ilvl="8" w:tplc="0409001B">
      <w:start w:val="1"/>
      <w:numFmt w:val="lowerRoman"/>
      <w:lvlText w:val="%9."/>
      <w:lvlJc w:val="right"/>
      <w:pPr>
        <w:ind w:left="6686" w:hanging="180"/>
      </w:pPr>
    </w:lvl>
  </w:abstractNum>
  <w:abstractNum w:abstractNumId="5" w15:restartNumberingAfterBreak="0">
    <w:nsid w:val="29FB4F22"/>
    <w:multiLevelType w:val="hybridMultilevel"/>
    <w:tmpl w:val="5FBE7FA0"/>
    <w:lvl w:ilvl="0" w:tplc="4AD64C58">
      <w:start w:val="1"/>
      <w:numFmt w:val="hebrew1"/>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6" w15:restartNumberingAfterBreak="0">
    <w:nsid w:val="346A750F"/>
    <w:multiLevelType w:val="hybridMultilevel"/>
    <w:tmpl w:val="AD34515A"/>
    <w:lvl w:ilvl="0" w:tplc="5AAE2098">
      <w:start w:val="1"/>
      <w:numFmt w:val="hebrew1"/>
      <w:lvlText w:val="(%1)"/>
      <w:lvlJc w:val="left"/>
      <w:pPr>
        <w:ind w:left="643" w:hanging="360"/>
      </w:p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7" w15:restartNumberingAfterBreak="0">
    <w:nsid w:val="3B3A5FF7"/>
    <w:multiLevelType w:val="hybridMultilevel"/>
    <w:tmpl w:val="7B3C5264"/>
    <w:lvl w:ilvl="0" w:tplc="891C57DE">
      <w:start w:val="1"/>
      <w:numFmt w:val="hebrew1"/>
      <w:lvlText w:val="(%1)"/>
      <w:lvlJc w:val="left"/>
      <w:pPr>
        <w:ind w:left="926" w:hanging="360"/>
      </w:pPr>
      <w:rPr>
        <w:b/>
      </w:rPr>
    </w:lvl>
    <w:lvl w:ilvl="1" w:tplc="04090019">
      <w:start w:val="1"/>
      <w:numFmt w:val="lowerLetter"/>
      <w:lvlText w:val="%2."/>
      <w:lvlJc w:val="left"/>
      <w:pPr>
        <w:ind w:left="1646" w:hanging="360"/>
      </w:pPr>
    </w:lvl>
    <w:lvl w:ilvl="2" w:tplc="0409001B">
      <w:start w:val="1"/>
      <w:numFmt w:val="lowerRoman"/>
      <w:lvlText w:val="%3."/>
      <w:lvlJc w:val="right"/>
      <w:pPr>
        <w:ind w:left="2366" w:hanging="180"/>
      </w:pPr>
    </w:lvl>
    <w:lvl w:ilvl="3" w:tplc="0409000F">
      <w:start w:val="1"/>
      <w:numFmt w:val="decimal"/>
      <w:lvlText w:val="%4."/>
      <w:lvlJc w:val="left"/>
      <w:pPr>
        <w:ind w:left="3086" w:hanging="360"/>
      </w:pPr>
    </w:lvl>
    <w:lvl w:ilvl="4" w:tplc="04090019">
      <w:start w:val="1"/>
      <w:numFmt w:val="lowerLetter"/>
      <w:lvlText w:val="%5."/>
      <w:lvlJc w:val="left"/>
      <w:pPr>
        <w:ind w:left="3806" w:hanging="360"/>
      </w:pPr>
    </w:lvl>
    <w:lvl w:ilvl="5" w:tplc="0409001B">
      <w:start w:val="1"/>
      <w:numFmt w:val="lowerRoman"/>
      <w:lvlText w:val="%6."/>
      <w:lvlJc w:val="right"/>
      <w:pPr>
        <w:ind w:left="4526" w:hanging="180"/>
      </w:pPr>
    </w:lvl>
    <w:lvl w:ilvl="6" w:tplc="0409000F">
      <w:start w:val="1"/>
      <w:numFmt w:val="decimal"/>
      <w:lvlText w:val="%7."/>
      <w:lvlJc w:val="left"/>
      <w:pPr>
        <w:ind w:left="5246" w:hanging="360"/>
      </w:pPr>
    </w:lvl>
    <w:lvl w:ilvl="7" w:tplc="04090019">
      <w:start w:val="1"/>
      <w:numFmt w:val="lowerLetter"/>
      <w:lvlText w:val="%8."/>
      <w:lvlJc w:val="left"/>
      <w:pPr>
        <w:ind w:left="5966" w:hanging="360"/>
      </w:pPr>
    </w:lvl>
    <w:lvl w:ilvl="8" w:tplc="0409001B">
      <w:start w:val="1"/>
      <w:numFmt w:val="lowerRoman"/>
      <w:lvlText w:val="%9."/>
      <w:lvlJc w:val="right"/>
      <w:pPr>
        <w:ind w:left="6686" w:hanging="180"/>
      </w:pPr>
    </w:lvl>
  </w:abstractNum>
  <w:abstractNum w:abstractNumId="8" w15:restartNumberingAfterBreak="0">
    <w:nsid w:val="5D303AAF"/>
    <w:multiLevelType w:val="hybridMultilevel"/>
    <w:tmpl w:val="34E4567E"/>
    <w:lvl w:ilvl="0" w:tplc="B89E192A">
      <w:start w:val="2"/>
      <w:numFmt w:val="hebrew1"/>
      <w:lvlText w:val="(%1)"/>
      <w:lvlJc w:val="left"/>
      <w:pPr>
        <w:ind w:left="92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26C19A4"/>
    <w:multiLevelType w:val="hybridMultilevel"/>
    <w:tmpl w:val="8F565F72"/>
    <w:lvl w:ilvl="0" w:tplc="6B6EE1C2">
      <w:start w:val="1"/>
      <w:numFmt w:val="hebrew1"/>
      <w:lvlText w:val="(%1)"/>
      <w:lvlJc w:val="left"/>
      <w:pPr>
        <w:ind w:left="926" w:hanging="360"/>
      </w:pPr>
    </w:lvl>
    <w:lvl w:ilvl="1" w:tplc="04090019">
      <w:start w:val="1"/>
      <w:numFmt w:val="lowerLetter"/>
      <w:lvlText w:val="%2."/>
      <w:lvlJc w:val="left"/>
      <w:pPr>
        <w:ind w:left="1646" w:hanging="360"/>
      </w:pPr>
    </w:lvl>
    <w:lvl w:ilvl="2" w:tplc="0409001B">
      <w:start w:val="1"/>
      <w:numFmt w:val="lowerRoman"/>
      <w:lvlText w:val="%3."/>
      <w:lvlJc w:val="right"/>
      <w:pPr>
        <w:ind w:left="2366" w:hanging="180"/>
      </w:pPr>
    </w:lvl>
    <w:lvl w:ilvl="3" w:tplc="0409000F">
      <w:start w:val="1"/>
      <w:numFmt w:val="decimal"/>
      <w:lvlText w:val="%4."/>
      <w:lvlJc w:val="left"/>
      <w:pPr>
        <w:ind w:left="3086" w:hanging="360"/>
      </w:pPr>
    </w:lvl>
    <w:lvl w:ilvl="4" w:tplc="04090019">
      <w:start w:val="1"/>
      <w:numFmt w:val="lowerLetter"/>
      <w:lvlText w:val="%5."/>
      <w:lvlJc w:val="left"/>
      <w:pPr>
        <w:ind w:left="3806" w:hanging="360"/>
      </w:pPr>
    </w:lvl>
    <w:lvl w:ilvl="5" w:tplc="0409001B">
      <w:start w:val="1"/>
      <w:numFmt w:val="lowerRoman"/>
      <w:lvlText w:val="%6."/>
      <w:lvlJc w:val="right"/>
      <w:pPr>
        <w:ind w:left="4526" w:hanging="180"/>
      </w:pPr>
    </w:lvl>
    <w:lvl w:ilvl="6" w:tplc="0409000F">
      <w:start w:val="1"/>
      <w:numFmt w:val="decimal"/>
      <w:lvlText w:val="%7."/>
      <w:lvlJc w:val="left"/>
      <w:pPr>
        <w:ind w:left="5246" w:hanging="360"/>
      </w:pPr>
    </w:lvl>
    <w:lvl w:ilvl="7" w:tplc="04090019">
      <w:start w:val="1"/>
      <w:numFmt w:val="lowerLetter"/>
      <w:lvlText w:val="%8."/>
      <w:lvlJc w:val="left"/>
      <w:pPr>
        <w:ind w:left="5966" w:hanging="360"/>
      </w:pPr>
    </w:lvl>
    <w:lvl w:ilvl="8" w:tplc="0409001B">
      <w:start w:val="1"/>
      <w:numFmt w:val="lowerRoman"/>
      <w:lvlText w:val="%9."/>
      <w:lvlJc w:val="right"/>
      <w:pPr>
        <w:ind w:left="6686" w:hanging="180"/>
      </w:pPr>
    </w:lvl>
  </w:abstractNum>
  <w:abstractNum w:abstractNumId="10" w15:restartNumberingAfterBreak="0">
    <w:nsid w:val="6DB04C57"/>
    <w:multiLevelType w:val="hybridMultilevel"/>
    <w:tmpl w:val="58727EA4"/>
    <w:lvl w:ilvl="0" w:tplc="B89E192A">
      <w:start w:val="1"/>
      <w:numFmt w:val="hebrew1"/>
      <w:lvlText w:val="(%1)"/>
      <w:lvlJc w:val="left"/>
      <w:pPr>
        <w:ind w:left="926" w:hanging="360"/>
      </w:pPr>
    </w:lvl>
    <w:lvl w:ilvl="1" w:tplc="04090019">
      <w:start w:val="1"/>
      <w:numFmt w:val="lowerLetter"/>
      <w:lvlText w:val="%2."/>
      <w:lvlJc w:val="left"/>
      <w:pPr>
        <w:ind w:left="1646" w:hanging="360"/>
      </w:pPr>
    </w:lvl>
    <w:lvl w:ilvl="2" w:tplc="0409001B">
      <w:start w:val="1"/>
      <w:numFmt w:val="lowerRoman"/>
      <w:lvlText w:val="%3."/>
      <w:lvlJc w:val="right"/>
      <w:pPr>
        <w:ind w:left="2366" w:hanging="180"/>
      </w:pPr>
    </w:lvl>
    <w:lvl w:ilvl="3" w:tplc="0409000F">
      <w:start w:val="1"/>
      <w:numFmt w:val="decimal"/>
      <w:lvlText w:val="%4."/>
      <w:lvlJc w:val="left"/>
      <w:pPr>
        <w:ind w:left="3086" w:hanging="360"/>
      </w:pPr>
    </w:lvl>
    <w:lvl w:ilvl="4" w:tplc="04090019">
      <w:start w:val="1"/>
      <w:numFmt w:val="lowerLetter"/>
      <w:lvlText w:val="%5."/>
      <w:lvlJc w:val="left"/>
      <w:pPr>
        <w:ind w:left="3806" w:hanging="360"/>
      </w:pPr>
    </w:lvl>
    <w:lvl w:ilvl="5" w:tplc="0409001B">
      <w:start w:val="1"/>
      <w:numFmt w:val="lowerRoman"/>
      <w:lvlText w:val="%6."/>
      <w:lvlJc w:val="right"/>
      <w:pPr>
        <w:ind w:left="4526" w:hanging="180"/>
      </w:pPr>
    </w:lvl>
    <w:lvl w:ilvl="6" w:tplc="0409000F">
      <w:start w:val="1"/>
      <w:numFmt w:val="decimal"/>
      <w:lvlText w:val="%7."/>
      <w:lvlJc w:val="left"/>
      <w:pPr>
        <w:ind w:left="5246" w:hanging="360"/>
      </w:pPr>
    </w:lvl>
    <w:lvl w:ilvl="7" w:tplc="04090019">
      <w:start w:val="1"/>
      <w:numFmt w:val="lowerLetter"/>
      <w:lvlText w:val="%8."/>
      <w:lvlJc w:val="left"/>
      <w:pPr>
        <w:ind w:left="5966" w:hanging="360"/>
      </w:pPr>
    </w:lvl>
    <w:lvl w:ilvl="8" w:tplc="0409001B">
      <w:start w:val="1"/>
      <w:numFmt w:val="lowerRoman"/>
      <w:lvlText w:val="%9."/>
      <w:lvlJc w:val="right"/>
      <w:pPr>
        <w:ind w:left="6686" w:hanging="180"/>
      </w:pPr>
    </w:lvl>
  </w:abstractNum>
  <w:abstractNum w:abstractNumId="11" w15:restartNumberingAfterBreak="0">
    <w:nsid w:val="6E7F4FA6"/>
    <w:multiLevelType w:val="hybridMultilevel"/>
    <w:tmpl w:val="A208A4FA"/>
    <w:lvl w:ilvl="0" w:tplc="D788FD72">
      <w:start w:val="1"/>
      <w:numFmt w:val="bullet"/>
      <w:lvlText w:val="-"/>
      <w:lvlJc w:val="left"/>
      <w:pPr>
        <w:ind w:left="785" w:hanging="360"/>
      </w:pPr>
      <w:rPr>
        <w:rFonts w:ascii="David" w:eastAsiaTheme="minorHAnsi" w:hAnsi="David" w:cs="David"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12" w15:restartNumberingAfterBreak="0">
    <w:nsid w:val="797E38FA"/>
    <w:multiLevelType w:val="hybridMultilevel"/>
    <w:tmpl w:val="826262F6"/>
    <w:lvl w:ilvl="0" w:tplc="75E69DC8">
      <w:start w:val="1"/>
      <w:numFmt w:val="hebrew1"/>
      <w:lvlText w:val="(%1)"/>
      <w:lvlJc w:val="left"/>
      <w:pPr>
        <w:ind w:left="643" w:hanging="360"/>
      </w:p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404F"/>
    <w:rsid w:val="00040D07"/>
    <w:rsid w:val="000419B6"/>
    <w:rsid w:val="000529D2"/>
    <w:rsid w:val="000564AB"/>
    <w:rsid w:val="00064FBD"/>
    <w:rsid w:val="00081E3B"/>
    <w:rsid w:val="00082AB2"/>
    <w:rsid w:val="000906FE"/>
    <w:rsid w:val="00096AF7"/>
    <w:rsid w:val="000B344B"/>
    <w:rsid w:val="000C3B0F"/>
    <w:rsid w:val="000C3B60"/>
    <w:rsid w:val="000E0DD2"/>
    <w:rsid w:val="000E3AF1"/>
    <w:rsid w:val="000F0BC8"/>
    <w:rsid w:val="000F0DD6"/>
    <w:rsid w:val="00107E6D"/>
    <w:rsid w:val="0011194C"/>
    <w:rsid w:val="0011424C"/>
    <w:rsid w:val="001143EA"/>
    <w:rsid w:val="001173C6"/>
    <w:rsid w:val="001367BC"/>
    <w:rsid w:val="0014384E"/>
    <w:rsid w:val="00144D2A"/>
    <w:rsid w:val="0014653E"/>
    <w:rsid w:val="0016615E"/>
    <w:rsid w:val="00180519"/>
    <w:rsid w:val="00191C82"/>
    <w:rsid w:val="001A51F0"/>
    <w:rsid w:val="001C3FD7"/>
    <w:rsid w:val="001C4003"/>
    <w:rsid w:val="001C5573"/>
    <w:rsid w:val="001D3441"/>
    <w:rsid w:val="001D4DBF"/>
    <w:rsid w:val="001E75CA"/>
    <w:rsid w:val="002265FF"/>
    <w:rsid w:val="00271B56"/>
    <w:rsid w:val="00291593"/>
    <w:rsid w:val="002C344E"/>
    <w:rsid w:val="002D2705"/>
    <w:rsid w:val="002D7668"/>
    <w:rsid w:val="002E75E9"/>
    <w:rsid w:val="002F75E2"/>
    <w:rsid w:val="00307A6A"/>
    <w:rsid w:val="00307C40"/>
    <w:rsid w:val="00314311"/>
    <w:rsid w:val="00320433"/>
    <w:rsid w:val="003230C7"/>
    <w:rsid w:val="00327E50"/>
    <w:rsid w:val="0033597A"/>
    <w:rsid w:val="00343D89"/>
    <w:rsid w:val="00354C8B"/>
    <w:rsid w:val="00362612"/>
    <w:rsid w:val="0036743F"/>
    <w:rsid w:val="003715DD"/>
    <w:rsid w:val="003763AB"/>
    <w:rsid w:val="003823E0"/>
    <w:rsid w:val="00386327"/>
    <w:rsid w:val="003A2359"/>
    <w:rsid w:val="003A4521"/>
    <w:rsid w:val="003A5B6D"/>
    <w:rsid w:val="003D1C8C"/>
    <w:rsid w:val="0040096C"/>
    <w:rsid w:val="00414F1F"/>
    <w:rsid w:val="0043125D"/>
    <w:rsid w:val="0043502B"/>
    <w:rsid w:val="004443AC"/>
    <w:rsid w:val="00451E28"/>
    <w:rsid w:val="00462C62"/>
    <w:rsid w:val="00465D36"/>
    <w:rsid w:val="004C17EE"/>
    <w:rsid w:val="004C4BDF"/>
    <w:rsid w:val="004C7358"/>
    <w:rsid w:val="004D1187"/>
    <w:rsid w:val="004D1998"/>
    <w:rsid w:val="004D3AA0"/>
    <w:rsid w:val="004E1987"/>
    <w:rsid w:val="004E2E15"/>
    <w:rsid w:val="004E6E3C"/>
    <w:rsid w:val="00515093"/>
    <w:rsid w:val="00520898"/>
    <w:rsid w:val="00523621"/>
    <w:rsid w:val="00524986"/>
    <w:rsid w:val="005268F6"/>
    <w:rsid w:val="005304B9"/>
    <w:rsid w:val="00534284"/>
    <w:rsid w:val="00540E67"/>
    <w:rsid w:val="0054494A"/>
    <w:rsid w:val="00547DB7"/>
    <w:rsid w:val="005F4F09"/>
    <w:rsid w:val="0061431B"/>
    <w:rsid w:val="00617CEE"/>
    <w:rsid w:val="00622BAA"/>
    <w:rsid w:val="006306CF"/>
    <w:rsid w:val="00640603"/>
    <w:rsid w:val="00644E9A"/>
    <w:rsid w:val="00671BD5"/>
    <w:rsid w:val="006805C1"/>
    <w:rsid w:val="006841E0"/>
    <w:rsid w:val="00686C21"/>
    <w:rsid w:val="006931C1"/>
    <w:rsid w:val="00694556"/>
    <w:rsid w:val="006C30C5"/>
    <w:rsid w:val="006D3B31"/>
    <w:rsid w:val="006E0D96"/>
    <w:rsid w:val="006E1A53"/>
    <w:rsid w:val="006F56E6"/>
    <w:rsid w:val="00704EDA"/>
    <w:rsid w:val="00721122"/>
    <w:rsid w:val="00744B1C"/>
    <w:rsid w:val="00753019"/>
    <w:rsid w:val="00754801"/>
    <w:rsid w:val="00795365"/>
    <w:rsid w:val="007A351D"/>
    <w:rsid w:val="007A52B3"/>
    <w:rsid w:val="007B0ADB"/>
    <w:rsid w:val="007B7765"/>
    <w:rsid w:val="007C5BDD"/>
    <w:rsid w:val="007D45E3"/>
    <w:rsid w:val="007E6115"/>
    <w:rsid w:val="007F09CE"/>
    <w:rsid w:val="007F4609"/>
    <w:rsid w:val="008176A1"/>
    <w:rsid w:val="00820005"/>
    <w:rsid w:val="00827D53"/>
    <w:rsid w:val="00844318"/>
    <w:rsid w:val="00863F5D"/>
    <w:rsid w:val="00870890"/>
    <w:rsid w:val="00873602"/>
    <w:rsid w:val="00875D12"/>
    <w:rsid w:val="008800CD"/>
    <w:rsid w:val="0088479D"/>
    <w:rsid w:val="008924AB"/>
    <w:rsid w:val="00896889"/>
    <w:rsid w:val="00897713"/>
    <w:rsid w:val="008C5714"/>
    <w:rsid w:val="008C7A1D"/>
    <w:rsid w:val="008D10B2"/>
    <w:rsid w:val="008E3E78"/>
    <w:rsid w:val="00903896"/>
    <w:rsid w:val="00906F3D"/>
    <w:rsid w:val="00912A5E"/>
    <w:rsid w:val="0094424E"/>
    <w:rsid w:val="00954A70"/>
    <w:rsid w:val="00955642"/>
    <w:rsid w:val="009622DF"/>
    <w:rsid w:val="00967DFF"/>
    <w:rsid w:val="00994341"/>
    <w:rsid w:val="009B4939"/>
    <w:rsid w:val="009D1A48"/>
    <w:rsid w:val="009E1CE7"/>
    <w:rsid w:val="009E4EA5"/>
    <w:rsid w:val="009E5DED"/>
    <w:rsid w:val="009F164B"/>
    <w:rsid w:val="009F323C"/>
    <w:rsid w:val="00A03128"/>
    <w:rsid w:val="00A3392B"/>
    <w:rsid w:val="00A413A4"/>
    <w:rsid w:val="00A94B64"/>
    <w:rsid w:val="00AA3229"/>
    <w:rsid w:val="00AA5158"/>
    <w:rsid w:val="00AA7596"/>
    <w:rsid w:val="00AB5E52"/>
    <w:rsid w:val="00AC3B02"/>
    <w:rsid w:val="00AC3B7B"/>
    <w:rsid w:val="00AC5209"/>
    <w:rsid w:val="00AD00A6"/>
    <w:rsid w:val="00AD4766"/>
    <w:rsid w:val="00AE211A"/>
    <w:rsid w:val="00AE729E"/>
    <w:rsid w:val="00AE7752"/>
    <w:rsid w:val="00AF65FD"/>
    <w:rsid w:val="00AF7FDA"/>
    <w:rsid w:val="00B02C76"/>
    <w:rsid w:val="00B244A6"/>
    <w:rsid w:val="00B37100"/>
    <w:rsid w:val="00B5356E"/>
    <w:rsid w:val="00B809AD"/>
    <w:rsid w:val="00B80CBD"/>
    <w:rsid w:val="00B86096"/>
    <w:rsid w:val="00B95A71"/>
    <w:rsid w:val="00B964D9"/>
    <w:rsid w:val="00BA0A7C"/>
    <w:rsid w:val="00BA517C"/>
    <w:rsid w:val="00BB3D05"/>
    <w:rsid w:val="00BB52D6"/>
    <w:rsid w:val="00BB73BE"/>
    <w:rsid w:val="00BC2D89"/>
    <w:rsid w:val="00BD6531"/>
    <w:rsid w:val="00BE05B2"/>
    <w:rsid w:val="00BF1908"/>
    <w:rsid w:val="00BF7F3B"/>
    <w:rsid w:val="00C22D93"/>
    <w:rsid w:val="00C31120"/>
    <w:rsid w:val="00C34482"/>
    <w:rsid w:val="00C43648"/>
    <w:rsid w:val="00C50A9F"/>
    <w:rsid w:val="00C53EB8"/>
    <w:rsid w:val="00C6224C"/>
    <w:rsid w:val="00C642FA"/>
    <w:rsid w:val="00C65565"/>
    <w:rsid w:val="00CC7622"/>
    <w:rsid w:val="00CD608F"/>
    <w:rsid w:val="00CF3111"/>
    <w:rsid w:val="00D27982"/>
    <w:rsid w:val="00D33B86"/>
    <w:rsid w:val="00D42388"/>
    <w:rsid w:val="00D53924"/>
    <w:rsid w:val="00D54B61"/>
    <w:rsid w:val="00D55D0C"/>
    <w:rsid w:val="00D627CF"/>
    <w:rsid w:val="00D74378"/>
    <w:rsid w:val="00D96D8C"/>
    <w:rsid w:val="00DA6649"/>
    <w:rsid w:val="00DC1259"/>
    <w:rsid w:val="00DC1BD2"/>
    <w:rsid w:val="00DC2571"/>
    <w:rsid w:val="00DC487C"/>
    <w:rsid w:val="00DE1DD0"/>
    <w:rsid w:val="00DE6BF6"/>
    <w:rsid w:val="00E0578E"/>
    <w:rsid w:val="00E1068A"/>
    <w:rsid w:val="00E25884"/>
    <w:rsid w:val="00E25B55"/>
    <w:rsid w:val="00E31C2B"/>
    <w:rsid w:val="00E37181"/>
    <w:rsid w:val="00E5426A"/>
    <w:rsid w:val="00E54642"/>
    <w:rsid w:val="00E80CBE"/>
    <w:rsid w:val="00E87DA0"/>
    <w:rsid w:val="00E962E3"/>
    <w:rsid w:val="00EB23B9"/>
    <w:rsid w:val="00EB6C79"/>
    <w:rsid w:val="00EC37E9"/>
    <w:rsid w:val="00F06995"/>
    <w:rsid w:val="00F13623"/>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E1DD0"/>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תואר1"/>
    <w:basedOn w:val="a"/>
    <w:qFormat/>
    <w:rsid w:val="00DE1DD0"/>
    <w:pPr>
      <w:shd w:val="pct20" w:color="auto" w:fill="FFFFFF"/>
      <w:spacing w:line="480" w:lineRule="auto"/>
      <w:ind w:left="1701" w:hanging="1701"/>
      <w:jc w:val="center"/>
    </w:pPr>
    <w:rPr>
      <w:rFonts w:cs="Times New Roman"/>
      <w:b/>
      <w:bCs/>
      <w:noProof w:val="0"/>
      <w:sz w:val="22"/>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6508">
      <w:bodyDiv w:val="1"/>
      <w:marLeft w:val="0"/>
      <w:marRight w:val="0"/>
      <w:marTop w:val="0"/>
      <w:marBottom w:val="0"/>
      <w:divBdr>
        <w:top w:val="none" w:sz="0" w:space="0" w:color="auto"/>
        <w:left w:val="none" w:sz="0" w:space="0" w:color="auto"/>
        <w:bottom w:val="none" w:sz="0" w:space="0" w:color="auto"/>
        <w:right w:val="none" w:sz="0" w:space="0" w:color="auto"/>
      </w:divBdr>
    </w:div>
    <w:div w:id="411632813">
      <w:bodyDiv w:val="1"/>
      <w:marLeft w:val="0"/>
      <w:marRight w:val="0"/>
      <w:marTop w:val="0"/>
      <w:marBottom w:val="0"/>
      <w:divBdr>
        <w:top w:val="none" w:sz="0" w:space="0" w:color="auto"/>
        <w:left w:val="none" w:sz="0" w:space="0" w:color="auto"/>
        <w:bottom w:val="none" w:sz="0" w:space="0" w:color="auto"/>
        <w:right w:val="none" w:sz="0" w:space="0" w:color="auto"/>
      </w:divBdr>
    </w:div>
    <w:div w:id="997347098">
      <w:bodyDiv w:val="1"/>
      <w:marLeft w:val="0"/>
      <w:marRight w:val="0"/>
      <w:marTop w:val="0"/>
      <w:marBottom w:val="0"/>
      <w:divBdr>
        <w:top w:val="none" w:sz="0" w:space="0" w:color="auto"/>
        <w:left w:val="none" w:sz="0" w:space="0" w:color="auto"/>
        <w:bottom w:val="none" w:sz="0" w:space="0" w:color="auto"/>
        <w:right w:val="none" w:sz="0" w:space="0" w:color="auto"/>
      </w:divBdr>
    </w:div>
    <w:div w:id="1099062181">
      <w:bodyDiv w:val="1"/>
      <w:marLeft w:val="0"/>
      <w:marRight w:val="0"/>
      <w:marTop w:val="0"/>
      <w:marBottom w:val="0"/>
      <w:divBdr>
        <w:top w:val="none" w:sz="0" w:space="0" w:color="auto"/>
        <w:left w:val="none" w:sz="0" w:space="0" w:color="auto"/>
        <w:bottom w:val="none" w:sz="0" w:space="0" w:color="auto"/>
        <w:right w:val="none" w:sz="0" w:space="0" w:color="auto"/>
      </w:divBdr>
    </w:div>
    <w:div w:id="1130243305">
      <w:bodyDiv w:val="1"/>
      <w:marLeft w:val="0"/>
      <w:marRight w:val="0"/>
      <w:marTop w:val="0"/>
      <w:marBottom w:val="0"/>
      <w:divBdr>
        <w:top w:val="none" w:sz="0" w:space="0" w:color="auto"/>
        <w:left w:val="none" w:sz="0" w:space="0" w:color="auto"/>
        <w:bottom w:val="none" w:sz="0" w:space="0" w:color="auto"/>
        <w:right w:val="none" w:sz="0" w:space="0" w:color="auto"/>
      </w:divBdr>
    </w:div>
    <w:div w:id="12357743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9952097">
      <w:bodyDiv w:val="1"/>
      <w:marLeft w:val="0"/>
      <w:marRight w:val="0"/>
      <w:marTop w:val="0"/>
      <w:marBottom w:val="0"/>
      <w:divBdr>
        <w:top w:val="none" w:sz="0" w:space="0" w:color="auto"/>
        <w:left w:val="none" w:sz="0" w:space="0" w:color="auto"/>
        <w:bottom w:val="none" w:sz="0" w:space="0" w:color="auto"/>
        <w:right w:val="none" w:sz="0" w:space="0" w:color="auto"/>
      </w:divBdr>
    </w:div>
    <w:div w:id="16166718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92395">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1221694">
      <w:bodyDiv w:val="1"/>
      <w:marLeft w:val="0"/>
      <w:marRight w:val="0"/>
      <w:marTop w:val="0"/>
      <w:marBottom w:val="0"/>
      <w:divBdr>
        <w:top w:val="none" w:sz="0" w:space="0" w:color="auto"/>
        <w:left w:val="none" w:sz="0" w:space="0" w:color="auto"/>
        <w:bottom w:val="none" w:sz="0" w:space="0" w:color="auto"/>
        <w:right w:val="none" w:sz="0" w:space="0" w:color="auto"/>
      </w:divBdr>
    </w:div>
    <w:div w:id="211131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37871" w:rsidP="00837871">
          <w:pPr>
            <w:pStyle w:val="E460D38E05664FF79D4EFF282EF8EC9938"/>
          </w:pPr>
          <w:r>
            <w:rPr>
              <w:rFonts w:hint="cs"/>
              <w:rtl/>
            </w:rPr>
            <w:t xml:space="preserve">     </w:t>
          </w:r>
        </w:p>
      </w:docPartBody>
    </w:docPart>
    <w:docPart>
      <w:docPartPr>
        <w:name w:val="6E9B64DE82404F9B827427D9CBC581D6"/>
        <w:category>
          <w:name w:val="כללי"/>
          <w:gallery w:val="placeholder"/>
        </w:category>
        <w:types>
          <w:type w:val="bbPlcHdr"/>
        </w:types>
        <w:behaviors>
          <w:behavior w:val="content"/>
        </w:behaviors>
        <w:guid w:val="{78BA44C6-B314-46D7-8ED1-BF436121D046}"/>
      </w:docPartPr>
      <w:docPartBody>
        <w:p w:rsidR="001437D3" w:rsidRDefault="00837871" w:rsidP="00837871">
          <w:pPr>
            <w:pStyle w:val="6E9B64DE82404F9B827427D9CBC581D62"/>
          </w:pPr>
          <w:r>
            <w:rPr>
              <w:rFonts w:ascii="Arial" w:hAnsi="Arial"/>
              <w:b/>
              <w:bCs/>
              <w:noProof w:val="0"/>
              <w:sz w:val="26"/>
              <w:szCs w:val="26"/>
              <w:rtl/>
            </w:rPr>
            <w:t>שם צד א' ללא שם של חסוי</w:t>
          </w:r>
        </w:p>
      </w:docPartBody>
    </w:docPart>
    <w:docPart>
      <w:docPartPr>
        <w:name w:val="4975FDB7C9824906A8EDDDC584D8F333"/>
        <w:category>
          <w:name w:val="כללי"/>
          <w:gallery w:val="placeholder"/>
        </w:category>
        <w:types>
          <w:type w:val="bbPlcHdr"/>
        </w:types>
        <w:behaviors>
          <w:behavior w:val="content"/>
        </w:behaviors>
        <w:guid w:val="{28E5AB39-0725-456D-B84C-21AB7B1A00B9}"/>
      </w:docPartPr>
      <w:docPartBody>
        <w:p w:rsidR="001437D3" w:rsidRDefault="00837871" w:rsidP="00837871">
          <w:pPr>
            <w:pStyle w:val="4975FDB7C9824906A8EDDDC584D8F3332"/>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976"/>
    <w:rsid w:val="000A4ACE"/>
    <w:rsid w:val="001437D3"/>
    <w:rsid w:val="001E622F"/>
    <w:rsid w:val="00243834"/>
    <w:rsid w:val="002D02C4"/>
    <w:rsid w:val="002E734C"/>
    <w:rsid w:val="00334638"/>
    <w:rsid w:val="00345C9D"/>
    <w:rsid w:val="003D74C1"/>
    <w:rsid w:val="003E1A82"/>
    <w:rsid w:val="0048651F"/>
    <w:rsid w:val="00491987"/>
    <w:rsid w:val="00556D67"/>
    <w:rsid w:val="005F1C8D"/>
    <w:rsid w:val="00793995"/>
    <w:rsid w:val="007C6F98"/>
    <w:rsid w:val="007E254A"/>
    <w:rsid w:val="00837871"/>
    <w:rsid w:val="008B4366"/>
    <w:rsid w:val="009133C7"/>
    <w:rsid w:val="009178E4"/>
    <w:rsid w:val="009234CA"/>
    <w:rsid w:val="00961B27"/>
    <w:rsid w:val="009D04C0"/>
    <w:rsid w:val="009E240F"/>
    <w:rsid w:val="00AA7CE3"/>
    <w:rsid w:val="00AE1281"/>
    <w:rsid w:val="00B91FA3"/>
    <w:rsid w:val="00C4535D"/>
    <w:rsid w:val="00C96C06"/>
    <w:rsid w:val="00E31BF6"/>
    <w:rsid w:val="00E81DB1"/>
    <w:rsid w:val="00EB2309"/>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787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7">
    <w:name w:val="116EBBD5A99E4E519EE4A5661D82C50E7"/>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8">
    <w:name w:val="116EBBD5A99E4E519EE4A5661D82C50E8"/>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9">
    <w:name w:val="116EBBD5A99E4E519EE4A5661D82C50E9"/>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0">
    <w:name w:val="116EBBD5A99E4E519EE4A5661D82C50E10"/>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1">
    <w:name w:val="116EBBD5A99E4E519EE4A5661D82C50E11"/>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2">
    <w:name w:val="116EBBD5A99E4E519EE4A5661D82C50E12"/>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3">
    <w:name w:val="116EBBD5A99E4E519EE4A5661D82C50E13"/>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4">
    <w:name w:val="116EBBD5A99E4E519EE4A5661D82C50E14"/>
    <w:rsid w:val="00243834"/>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243834"/>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243834"/>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243834"/>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243834"/>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43834"/>
    <w:pPr>
      <w:bidi/>
      <w:spacing w:after="0" w:line="240" w:lineRule="auto"/>
    </w:pPr>
    <w:rPr>
      <w:rFonts w:ascii="Times New Roman" w:eastAsia="Times New Roman" w:hAnsi="Times New Roman" w:cs="David"/>
      <w:noProof/>
      <w:sz w:val="24"/>
      <w:szCs w:val="24"/>
    </w:rPr>
  </w:style>
  <w:style w:type="paragraph" w:customStyle="1" w:styleId="116EBBD5A99E4E519EE4A5661D82C50E15">
    <w:name w:val="116EBBD5A99E4E519EE4A5661D82C50E15"/>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6">
    <w:name w:val="116EBBD5A99E4E519EE4A5661D82C50E16"/>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7">
    <w:name w:val="116EBBD5A99E4E519EE4A5661D82C50E17"/>
    <w:rsid w:val="00EB2309"/>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EB2309"/>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EB2309"/>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EB2309"/>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EB2309"/>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EB2309"/>
    <w:pPr>
      <w:bidi/>
      <w:spacing w:after="0" w:line="240" w:lineRule="auto"/>
    </w:pPr>
    <w:rPr>
      <w:rFonts w:ascii="Times New Roman" w:eastAsia="Times New Roman" w:hAnsi="Times New Roman" w:cs="David"/>
      <w:noProof/>
      <w:sz w:val="24"/>
      <w:szCs w:val="24"/>
    </w:rPr>
  </w:style>
  <w:style w:type="paragraph" w:customStyle="1" w:styleId="116EBBD5A99E4E519EE4A5661D82C50E18">
    <w:name w:val="116EBBD5A99E4E519EE4A5661D82C50E18"/>
    <w:rsid w:val="00AE1281"/>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AE1281"/>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AE1281"/>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AE1281"/>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AE128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E1281"/>
    <w:pPr>
      <w:bidi/>
      <w:spacing w:after="0" w:line="240" w:lineRule="auto"/>
    </w:pPr>
    <w:rPr>
      <w:rFonts w:ascii="Times New Roman" w:eastAsia="Times New Roman" w:hAnsi="Times New Roman" w:cs="David"/>
      <w:noProof/>
      <w:sz w:val="24"/>
      <w:szCs w:val="24"/>
    </w:rPr>
  </w:style>
  <w:style w:type="paragraph" w:customStyle="1" w:styleId="116EBBD5A99E4E519EE4A5661D82C50E19">
    <w:name w:val="116EBBD5A99E4E519EE4A5661D82C50E19"/>
    <w:rsid w:val="009D04C0"/>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9D04C0"/>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9D04C0"/>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9D04C0"/>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9D04C0"/>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9D04C0"/>
    <w:pPr>
      <w:bidi/>
      <w:spacing w:after="0" w:line="240" w:lineRule="auto"/>
    </w:pPr>
    <w:rPr>
      <w:rFonts w:ascii="Times New Roman" w:eastAsia="Times New Roman" w:hAnsi="Times New Roman" w:cs="David"/>
      <w:noProof/>
      <w:sz w:val="24"/>
      <w:szCs w:val="24"/>
    </w:rPr>
  </w:style>
  <w:style w:type="paragraph" w:customStyle="1" w:styleId="116EBBD5A99E4E519EE4A5661D82C50E20">
    <w:name w:val="116EBBD5A99E4E519EE4A5661D82C50E20"/>
    <w:rsid w:val="001E622F"/>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1E622F"/>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1E622F"/>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1E622F"/>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1E622F"/>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1E622F"/>
    <w:pPr>
      <w:bidi/>
      <w:spacing w:after="0" w:line="240" w:lineRule="auto"/>
    </w:pPr>
    <w:rPr>
      <w:rFonts w:ascii="Times New Roman" w:eastAsia="Times New Roman" w:hAnsi="Times New Roman" w:cs="David"/>
      <w:noProof/>
      <w:sz w:val="24"/>
      <w:szCs w:val="24"/>
    </w:rPr>
  </w:style>
  <w:style w:type="paragraph" w:customStyle="1" w:styleId="116EBBD5A99E4E519EE4A5661D82C50E21">
    <w:name w:val="116EBBD5A99E4E519EE4A5661D82C50E21"/>
    <w:rsid w:val="009234CA"/>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9234CA"/>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9234CA"/>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9234CA"/>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9234CA"/>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9234CA"/>
    <w:pPr>
      <w:bidi/>
      <w:spacing w:after="0" w:line="240" w:lineRule="auto"/>
    </w:pPr>
    <w:rPr>
      <w:rFonts w:ascii="Times New Roman" w:eastAsia="Times New Roman" w:hAnsi="Times New Roman" w:cs="David"/>
      <w:noProof/>
      <w:sz w:val="24"/>
      <w:szCs w:val="24"/>
    </w:rPr>
  </w:style>
  <w:style w:type="paragraph" w:customStyle="1" w:styleId="AD812B442A6148AD86AF75D37292B388">
    <w:name w:val="AD812B442A6148AD86AF75D37292B388"/>
    <w:rsid w:val="009234CA"/>
    <w:pPr>
      <w:bidi/>
      <w:spacing w:after="160" w:line="259" w:lineRule="auto"/>
    </w:pPr>
  </w:style>
  <w:style w:type="paragraph" w:customStyle="1" w:styleId="E516A655D6BA4402B6419633AB3A57D0">
    <w:name w:val="E516A655D6BA4402B6419633AB3A57D0"/>
    <w:rsid w:val="009234CA"/>
    <w:pPr>
      <w:bidi/>
      <w:spacing w:after="160" w:line="259" w:lineRule="auto"/>
    </w:pPr>
  </w:style>
  <w:style w:type="paragraph" w:customStyle="1" w:styleId="CFC05397738F4E5A80E642501E3521EE">
    <w:name w:val="CFC05397738F4E5A80E642501E3521EE"/>
    <w:rsid w:val="009234CA"/>
    <w:pPr>
      <w:bidi/>
      <w:spacing w:after="160" w:line="259" w:lineRule="auto"/>
    </w:pPr>
  </w:style>
  <w:style w:type="paragraph" w:customStyle="1" w:styleId="90B0F759156647ACAD295D20FC97F03F">
    <w:name w:val="90B0F759156647ACAD295D20FC97F03F"/>
    <w:rsid w:val="009234CA"/>
    <w:pPr>
      <w:bidi/>
      <w:spacing w:after="160" w:line="259" w:lineRule="auto"/>
    </w:pPr>
  </w:style>
  <w:style w:type="paragraph" w:customStyle="1" w:styleId="A32784E0CF004EEDBF07D7430B41A77E">
    <w:name w:val="A32784E0CF004EEDBF07D7430B41A77E"/>
    <w:rsid w:val="009234CA"/>
    <w:pPr>
      <w:bidi/>
      <w:spacing w:after="160" w:line="259" w:lineRule="auto"/>
    </w:pPr>
  </w:style>
  <w:style w:type="paragraph" w:customStyle="1" w:styleId="2F0C8789261B416098B21975B972BEDE">
    <w:name w:val="2F0C8789261B416098B21975B972BEDE"/>
    <w:rsid w:val="009234CA"/>
    <w:pPr>
      <w:bidi/>
      <w:spacing w:after="160" w:line="259" w:lineRule="auto"/>
    </w:pPr>
  </w:style>
  <w:style w:type="paragraph" w:customStyle="1" w:styleId="E516A655D6BA4402B6419633AB3A57D01">
    <w:name w:val="E516A655D6BA4402B6419633AB3A57D01"/>
    <w:rsid w:val="00C4535D"/>
    <w:pPr>
      <w:bidi/>
      <w:spacing w:after="0" w:line="240" w:lineRule="auto"/>
    </w:pPr>
    <w:rPr>
      <w:rFonts w:ascii="Times New Roman" w:eastAsia="Times New Roman" w:hAnsi="Times New Roman" w:cs="David"/>
      <w:noProof/>
      <w:sz w:val="24"/>
      <w:szCs w:val="24"/>
    </w:rPr>
  </w:style>
  <w:style w:type="paragraph" w:customStyle="1" w:styleId="CFC05397738F4E5A80E642501E3521EE1">
    <w:name w:val="CFC05397738F4E5A80E642501E3521EE1"/>
    <w:rsid w:val="00C4535D"/>
    <w:pPr>
      <w:bidi/>
      <w:spacing w:after="0" w:line="240" w:lineRule="auto"/>
    </w:pPr>
    <w:rPr>
      <w:rFonts w:ascii="Times New Roman" w:eastAsia="Times New Roman" w:hAnsi="Times New Roman" w:cs="David"/>
      <w:noProof/>
      <w:sz w:val="24"/>
      <w:szCs w:val="24"/>
    </w:rPr>
  </w:style>
  <w:style w:type="paragraph" w:customStyle="1" w:styleId="90B0F759156647ACAD295D20FC97F03F1">
    <w:name w:val="90B0F759156647ACAD295D20FC97F03F1"/>
    <w:rsid w:val="00C4535D"/>
    <w:pPr>
      <w:bidi/>
      <w:spacing w:after="0" w:line="240" w:lineRule="auto"/>
    </w:pPr>
    <w:rPr>
      <w:rFonts w:ascii="Times New Roman" w:eastAsia="Times New Roman" w:hAnsi="Times New Roman" w:cs="David"/>
      <w:noProof/>
      <w:sz w:val="24"/>
      <w:szCs w:val="24"/>
    </w:rPr>
  </w:style>
  <w:style w:type="paragraph" w:customStyle="1" w:styleId="A32784E0CF004EEDBF07D7430B41A77E1">
    <w:name w:val="A32784E0CF004EEDBF07D7430B41A77E1"/>
    <w:rsid w:val="00C4535D"/>
    <w:pPr>
      <w:bidi/>
      <w:spacing w:after="0" w:line="240" w:lineRule="auto"/>
    </w:pPr>
    <w:rPr>
      <w:rFonts w:ascii="Times New Roman" w:eastAsia="Times New Roman" w:hAnsi="Times New Roman" w:cs="David"/>
      <w:noProof/>
      <w:sz w:val="24"/>
      <w:szCs w:val="24"/>
    </w:rPr>
  </w:style>
  <w:style w:type="paragraph" w:customStyle="1" w:styleId="2F0C8789261B416098B21975B972BEDE1">
    <w:name w:val="2F0C8789261B416098B21975B972BEDE1"/>
    <w:rsid w:val="00C4535D"/>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C4535D"/>
    <w:pPr>
      <w:bidi/>
      <w:spacing w:after="0" w:line="240" w:lineRule="auto"/>
    </w:pPr>
    <w:rPr>
      <w:rFonts w:ascii="Times New Roman" w:eastAsia="Times New Roman" w:hAnsi="Times New Roman" w:cs="David"/>
      <w:noProof/>
      <w:sz w:val="24"/>
      <w:szCs w:val="24"/>
    </w:rPr>
  </w:style>
  <w:style w:type="paragraph" w:customStyle="1" w:styleId="E516A655D6BA4402B6419633AB3A57D02">
    <w:name w:val="E516A655D6BA4402B6419633AB3A57D02"/>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2">
    <w:name w:val="CFC05397738F4E5A80E642501E3521EE2"/>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2">
    <w:name w:val="90B0F759156647ACAD295D20FC97F03F2"/>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2">
    <w:name w:val="A32784E0CF004EEDBF07D7430B41A77E2"/>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2">
    <w:name w:val="2F0C8789261B416098B21975B972BEDE2"/>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010976"/>
    <w:pPr>
      <w:bidi/>
      <w:spacing w:after="0" w:line="240" w:lineRule="auto"/>
    </w:pPr>
    <w:rPr>
      <w:rFonts w:ascii="Times New Roman" w:eastAsia="Times New Roman" w:hAnsi="Times New Roman" w:cs="David"/>
      <w:noProof/>
      <w:sz w:val="24"/>
      <w:szCs w:val="24"/>
    </w:rPr>
  </w:style>
  <w:style w:type="paragraph" w:customStyle="1" w:styleId="E516A655D6BA4402B6419633AB3A57D03">
    <w:name w:val="E516A655D6BA4402B6419633AB3A57D03"/>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3">
    <w:name w:val="CFC05397738F4E5A80E642501E3521EE3"/>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3">
    <w:name w:val="90B0F759156647ACAD295D20FC97F03F3"/>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3">
    <w:name w:val="A32784E0CF004EEDBF07D7430B41A77E3"/>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3">
    <w:name w:val="2F0C8789261B416098B21975B972BEDE3"/>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010976"/>
    <w:pPr>
      <w:bidi/>
      <w:spacing w:after="0" w:line="240" w:lineRule="auto"/>
    </w:pPr>
    <w:rPr>
      <w:rFonts w:ascii="Times New Roman" w:eastAsia="Times New Roman" w:hAnsi="Times New Roman" w:cs="David"/>
      <w:noProof/>
      <w:sz w:val="24"/>
      <w:szCs w:val="24"/>
    </w:rPr>
  </w:style>
  <w:style w:type="paragraph" w:customStyle="1" w:styleId="6E9B64DE82404F9B827427D9CBC581D6">
    <w:name w:val="6E9B64DE82404F9B827427D9CBC581D6"/>
    <w:rsid w:val="005F1C8D"/>
    <w:pPr>
      <w:bidi/>
      <w:spacing w:after="160" w:line="259" w:lineRule="auto"/>
    </w:pPr>
  </w:style>
  <w:style w:type="paragraph" w:customStyle="1" w:styleId="CEBF8CAB19D1432190577F1B232F29DC">
    <w:name w:val="CEBF8CAB19D1432190577F1B232F29DC"/>
    <w:rsid w:val="005F1C8D"/>
    <w:pPr>
      <w:bidi/>
      <w:spacing w:after="160" w:line="259" w:lineRule="auto"/>
    </w:pPr>
  </w:style>
  <w:style w:type="paragraph" w:customStyle="1" w:styleId="486476043DCC42DE88A7E90AAA0A5F6E">
    <w:name w:val="486476043DCC42DE88A7E90AAA0A5F6E"/>
    <w:rsid w:val="005F1C8D"/>
    <w:pPr>
      <w:bidi/>
      <w:spacing w:after="160" w:line="259" w:lineRule="auto"/>
    </w:pPr>
  </w:style>
  <w:style w:type="paragraph" w:customStyle="1" w:styleId="6C5A84F1268D48BCB763E3FE0B847160">
    <w:name w:val="6C5A84F1268D48BCB763E3FE0B847160"/>
    <w:rsid w:val="005F1C8D"/>
    <w:pPr>
      <w:bidi/>
      <w:spacing w:after="160" w:line="259" w:lineRule="auto"/>
    </w:pPr>
  </w:style>
  <w:style w:type="paragraph" w:customStyle="1" w:styleId="CC98E272BE60499A9573555F2D3FBAF5">
    <w:name w:val="CC98E272BE60499A9573555F2D3FBAF5"/>
    <w:rsid w:val="005F1C8D"/>
    <w:pPr>
      <w:bidi/>
      <w:spacing w:after="160" w:line="259" w:lineRule="auto"/>
    </w:pPr>
  </w:style>
  <w:style w:type="paragraph" w:customStyle="1" w:styleId="F06F93A59E9F4240AEBCC820438BAFCF">
    <w:name w:val="F06F93A59E9F4240AEBCC820438BAFCF"/>
    <w:rsid w:val="005F1C8D"/>
    <w:pPr>
      <w:bidi/>
      <w:spacing w:after="160" w:line="259" w:lineRule="auto"/>
    </w:pPr>
  </w:style>
  <w:style w:type="paragraph" w:customStyle="1" w:styleId="A90AC82EC8B94BD7865F956EF503BBAD">
    <w:name w:val="A90AC82EC8B94BD7865F956EF503BBAD"/>
    <w:rsid w:val="005F1C8D"/>
    <w:pPr>
      <w:bidi/>
      <w:spacing w:after="160" w:line="259" w:lineRule="auto"/>
    </w:pPr>
  </w:style>
  <w:style w:type="paragraph" w:customStyle="1" w:styleId="CA411FF768504DE698B39B6C6B68DBCA">
    <w:name w:val="CA411FF768504DE698B39B6C6B68DBCA"/>
    <w:rsid w:val="005F1C8D"/>
    <w:pPr>
      <w:bidi/>
      <w:spacing w:after="160" w:line="259" w:lineRule="auto"/>
    </w:pPr>
  </w:style>
  <w:style w:type="paragraph" w:customStyle="1" w:styleId="14CE73BE419B448887D1F7C12CD5C3DE">
    <w:name w:val="14CE73BE419B448887D1F7C12CD5C3DE"/>
    <w:rsid w:val="005F1C8D"/>
    <w:pPr>
      <w:bidi/>
      <w:spacing w:after="160" w:line="259" w:lineRule="auto"/>
    </w:pPr>
  </w:style>
  <w:style w:type="paragraph" w:customStyle="1" w:styleId="27898690DA6B4C90AA8374F7637925A9">
    <w:name w:val="27898690DA6B4C90AA8374F7637925A9"/>
    <w:rsid w:val="005F1C8D"/>
    <w:pPr>
      <w:bidi/>
      <w:spacing w:after="160" w:line="259" w:lineRule="auto"/>
    </w:pPr>
  </w:style>
  <w:style w:type="paragraph" w:customStyle="1" w:styleId="C62771E0E4CF434682A071CB4FB6C3FA">
    <w:name w:val="C62771E0E4CF434682A071CB4FB6C3FA"/>
    <w:rsid w:val="005F1C8D"/>
    <w:pPr>
      <w:bidi/>
      <w:spacing w:after="160" w:line="259" w:lineRule="auto"/>
    </w:pPr>
  </w:style>
  <w:style w:type="paragraph" w:customStyle="1" w:styleId="4975FDB7C9824906A8EDDDC584D8F333">
    <w:name w:val="4975FDB7C9824906A8EDDDC584D8F333"/>
    <w:rsid w:val="005F1C8D"/>
    <w:pPr>
      <w:bidi/>
      <w:spacing w:after="160" w:line="259" w:lineRule="auto"/>
    </w:pPr>
  </w:style>
  <w:style w:type="paragraph" w:customStyle="1" w:styleId="DB11F48261404C87815507950762D31B">
    <w:name w:val="DB11F48261404C87815507950762D31B"/>
    <w:rsid w:val="005F1C8D"/>
    <w:pPr>
      <w:bidi/>
      <w:spacing w:after="160" w:line="259" w:lineRule="auto"/>
    </w:pPr>
  </w:style>
  <w:style w:type="paragraph" w:customStyle="1" w:styleId="0775C2ABC8734942821E9580B7CD52AB">
    <w:name w:val="0775C2ABC8734942821E9580B7CD52AB"/>
    <w:rsid w:val="005F1C8D"/>
    <w:pPr>
      <w:bidi/>
      <w:spacing w:after="160" w:line="259" w:lineRule="auto"/>
    </w:pPr>
  </w:style>
  <w:style w:type="paragraph" w:customStyle="1" w:styleId="AC934E0EF817441CB631F508445A1C72">
    <w:name w:val="AC934E0EF817441CB631F508445A1C72"/>
    <w:rsid w:val="005F1C8D"/>
    <w:pPr>
      <w:bidi/>
      <w:spacing w:after="160" w:line="259" w:lineRule="auto"/>
    </w:pPr>
  </w:style>
  <w:style w:type="paragraph" w:customStyle="1" w:styleId="57718C5BA61841D794B21F88803E1E63">
    <w:name w:val="57718C5BA61841D794B21F88803E1E63"/>
    <w:rsid w:val="005F1C8D"/>
    <w:pPr>
      <w:bidi/>
      <w:spacing w:after="160" w:line="259" w:lineRule="auto"/>
    </w:pPr>
  </w:style>
  <w:style w:type="paragraph" w:customStyle="1" w:styleId="3DCE8B5BEDA444F1ABDBF28E2B60C1F2">
    <w:name w:val="3DCE8B5BEDA444F1ABDBF28E2B60C1F2"/>
    <w:rsid w:val="005F1C8D"/>
    <w:pPr>
      <w:bidi/>
      <w:spacing w:after="160" w:line="259" w:lineRule="auto"/>
    </w:pPr>
  </w:style>
  <w:style w:type="paragraph" w:customStyle="1" w:styleId="3063793C11CD45E38AE9612680E7E24C">
    <w:name w:val="3063793C11CD45E38AE9612680E7E24C"/>
    <w:rsid w:val="005F1C8D"/>
    <w:pPr>
      <w:bidi/>
      <w:spacing w:after="160" w:line="259" w:lineRule="auto"/>
    </w:pPr>
  </w:style>
  <w:style w:type="paragraph" w:customStyle="1" w:styleId="0CE3232FC0A7453B91552AD24D6356EC">
    <w:name w:val="0CE3232FC0A7453B91552AD24D6356EC"/>
    <w:rsid w:val="005F1C8D"/>
    <w:pPr>
      <w:bidi/>
      <w:spacing w:after="160" w:line="259" w:lineRule="auto"/>
    </w:pPr>
  </w:style>
  <w:style w:type="paragraph" w:customStyle="1" w:styleId="0746682D744E43C9AA67B3EF2EC9F747">
    <w:name w:val="0746682D744E43C9AA67B3EF2EC9F747"/>
    <w:rsid w:val="005F1C8D"/>
    <w:pPr>
      <w:bidi/>
      <w:spacing w:after="160" w:line="259" w:lineRule="auto"/>
    </w:pPr>
  </w:style>
  <w:style w:type="paragraph" w:customStyle="1" w:styleId="266B6031A6DF49368D1A39C11D099690">
    <w:name w:val="266B6031A6DF49368D1A39C11D099690"/>
    <w:rsid w:val="005F1C8D"/>
    <w:pPr>
      <w:bidi/>
      <w:spacing w:after="160" w:line="259" w:lineRule="auto"/>
    </w:pPr>
  </w:style>
  <w:style w:type="paragraph" w:customStyle="1" w:styleId="9606C6A3114E4A80B8FCC2B7D49AD3DE">
    <w:name w:val="9606C6A3114E4A80B8FCC2B7D49AD3DE"/>
    <w:rsid w:val="005F1C8D"/>
    <w:pPr>
      <w:bidi/>
      <w:spacing w:after="160" w:line="259" w:lineRule="auto"/>
    </w:pPr>
  </w:style>
  <w:style w:type="paragraph" w:customStyle="1" w:styleId="EEC23A8385174C679D11DAA521780AFF">
    <w:name w:val="EEC23A8385174C679D11DAA521780AFF"/>
    <w:rsid w:val="005F1C8D"/>
    <w:pPr>
      <w:bidi/>
      <w:spacing w:after="160" w:line="259" w:lineRule="auto"/>
    </w:pPr>
  </w:style>
  <w:style w:type="paragraph" w:customStyle="1" w:styleId="2F7511B259E4414885D126CE0792B16E">
    <w:name w:val="2F7511B259E4414885D126CE0792B16E"/>
    <w:rsid w:val="005F1C8D"/>
    <w:pPr>
      <w:bidi/>
      <w:spacing w:after="160" w:line="259" w:lineRule="auto"/>
    </w:pPr>
  </w:style>
  <w:style w:type="paragraph" w:customStyle="1" w:styleId="E51E1DFD654740D484F70EDD1EA4FA2D">
    <w:name w:val="E51E1DFD654740D484F70EDD1EA4FA2D"/>
    <w:rsid w:val="005F1C8D"/>
    <w:pPr>
      <w:bidi/>
      <w:spacing w:after="160" w:line="259" w:lineRule="auto"/>
    </w:pPr>
  </w:style>
  <w:style w:type="paragraph" w:customStyle="1" w:styleId="8E48858722B44348B7754217E380155A">
    <w:name w:val="8E48858722B44348B7754217E380155A"/>
    <w:rsid w:val="005F1C8D"/>
    <w:pPr>
      <w:bidi/>
      <w:spacing w:after="160" w:line="259" w:lineRule="auto"/>
    </w:pPr>
  </w:style>
  <w:style w:type="paragraph" w:customStyle="1" w:styleId="BA71EA24FD0B4C98BBA8E6142560601B">
    <w:name w:val="BA71EA24FD0B4C98BBA8E6142560601B"/>
    <w:rsid w:val="005F1C8D"/>
    <w:pPr>
      <w:bidi/>
      <w:spacing w:after="160" w:line="259" w:lineRule="auto"/>
    </w:pPr>
  </w:style>
  <w:style w:type="paragraph" w:customStyle="1" w:styleId="7A7084BED64A463FA41F4F5E0FC692C8">
    <w:name w:val="7A7084BED64A463FA41F4F5E0FC692C8"/>
    <w:rsid w:val="005F1C8D"/>
    <w:pPr>
      <w:bidi/>
      <w:spacing w:after="160" w:line="259" w:lineRule="auto"/>
    </w:pPr>
  </w:style>
  <w:style w:type="paragraph" w:customStyle="1" w:styleId="468C623C90F2404FB0842275BB935BA3">
    <w:name w:val="468C623C90F2404FB0842275BB935BA3"/>
    <w:rsid w:val="005F1C8D"/>
    <w:pPr>
      <w:bidi/>
      <w:spacing w:after="160" w:line="259" w:lineRule="auto"/>
    </w:pPr>
  </w:style>
  <w:style w:type="paragraph" w:customStyle="1" w:styleId="D5F68AAFB16C4695ACB5E782F0E5EC2B">
    <w:name w:val="D5F68AAFB16C4695ACB5E782F0E5EC2B"/>
    <w:rsid w:val="005F1C8D"/>
    <w:pPr>
      <w:bidi/>
      <w:spacing w:after="160" w:line="259" w:lineRule="auto"/>
    </w:pPr>
  </w:style>
  <w:style w:type="paragraph" w:customStyle="1" w:styleId="C4BA336785714765B3F6D92DFA64251E">
    <w:name w:val="C4BA336785714765B3F6D92DFA64251E"/>
    <w:rsid w:val="005F1C8D"/>
    <w:pPr>
      <w:bidi/>
      <w:spacing w:after="160" w:line="259" w:lineRule="auto"/>
    </w:pPr>
  </w:style>
  <w:style w:type="paragraph" w:customStyle="1" w:styleId="0707E533FBFF4CEC8C847BAE588E8013">
    <w:name w:val="0707E533FBFF4CEC8C847BAE588E8013"/>
    <w:rsid w:val="005F1C8D"/>
    <w:pPr>
      <w:bidi/>
      <w:spacing w:after="160" w:line="259" w:lineRule="auto"/>
    </w:pPr>
  </w:style>
  <w:style w:type="paragraph" w:customStyle="1" w:styleId="E7107AEA636A46B09EF0E82E73BAC570">
    <w:name w:val="E7107AEA636A46B09EF0E82E73BAC570"/>
    <w:rsid w:val="005F1C8D"/>
    <w:pPr>
      <w:bidi/>
      <w:spacing w:after="160" w:line="259" w:lineRule="auto"/>
    </w:pPr>
  </w:style>
  <w:style w:type="paragraph" w:customStyle="1" w:styleId="0D104245A24547CFB3F2C5EF569F3110">
    <w:name w:val="0D104245A24547CFB3F2C5EF569F3110"/>
    <w:rsid w:val="005F1C8D"/>
    <w:pPr>
      <w:bidi/>
      <w:spacing w:after="160" w:line="259" w:lineRule="auto"/>
    </w:pPr>
  </w:style>
  <w:style w:type="paragraph" w:customStyle="1" w:styleId="34AFA2AA815C4606B29D8328193A9FAF">
    <w:name w:val="34AFA2AA815C4606B29D8328193A9FAF"/>
    <w:rsid w:val="005F1C8D"/>
    <w:pPr>
      <w:bidi/>
      <w:spacing w:after="160" w:line="259" w:lineRule="auto"/>
    </w:pPr>
  </w:style>
  <w:style w:type="paragraph" w:customStyle="1" w:styleId="1D7E9C58700943E698ACAD7A313FE530">
    <w:name w:val="1D7E9C58700943E698ACAD7A313FE530"/>
    <w:rsid w:val="005F1C8D"/>
    <w:pPr>
      <w:bidi/>
      <w:spacing w:after="160" w:line="259" w:lineRule="auto"/>
    </w:pPr>
  </w:style>
  <w:style w:type="paragraph" w:customStyle="1" w:styleId="7251215E5F6F4C56AB5BF84FF59EDEC4">
    <w:name w:val="7251215E5F6F4C56AB5BF84FF59EDEC4"/>
    <w:rsid w:val="005F1C8D"/>
    <w:pPr>
      <w:bidi/>
      <w:spacing w:after="160" w:line="259" w:lineRule="auto"/>
    </w:pPr>
  </w:style>
  <w:style w:type="paragraph" w:customStyle="1" w:styleId="E8A2AD312CFC4F0B90437C6C22661183">
    <w:name w:val="E8A2AD312CFC4F0B90437C6C22661183"/>
    <w:rsid w:val="005F1C8D"/>
    <w:pPr>
      <w:bidi/>
      <w:spacing w:after="160" w:line="259" w:lineRule="auto"/>
    </w:pPr>
  </w:style>
  <w:style w:type="paragraph" w:customStyle="1" w:styleId="047B9D7C22A446E3961C92C7453A032E">
    <w:name w:val="047B9D7C22A446E3961C92C7453A032E"/>
    <w:rsid w:val="005F1C8D"/>
    <w:pPr>
      <w:bidi/>
      <w:spacing w:after="160" w:line="259" w:lineRule="auto"/>
    </w:pPr>
  </w:style>
  <w:style w:type="paragraph" w:customStyle="1" w:styleId="E5AB823215EF42438B480D8ABFE9AEA1">
    <w:name w:val="E5AB823215EF42438B480D8ABFE9AEA1"/>
    <w:rsid w:val="005F1C8D"/>
    <w:pPr>
      <w:bidi/>
      <w:spacing w:after="160" w:line="259" w:lineRule="auto"/>
    </w:pPr>
  </w:style>
  <w:style w:type="paragraph" w:customStyle="1" w:styleId="E0402C61FEF8403A9E2A306D263F1547">
    <w:name w:val="E0402C61FEF8403A9E2A306D263F1547"/>
    <w:rsid w:val="005F1C8D"/>
    <w:pPr>
      <w:bidi/>
      <w:spacing w:after="160" w:line="259" w:lineRule="auto"/>
    </w:pPr>
  </w:style>
  <w:style w:type="paragraph" w:customStyle="1" w:styleId="965702558FC24801A9B310052FBDF624">
    <w:name w:val="965702558FC24801A9B310052FBDF624"/>
    <w:rsid w:val="005F1C8D"/>
    <w:pPr>
      <w:bidi/>
      <w:spacing w:after="160" w:line="259" w:lineRule="auto"/>
    </w:pPr>
  </w:style>
  <w:style w:type="paragraph" w:customStyle="1" w:styleId="A31CB7A2DB394CEAB6726F70B23689EA">
    <w:name w:val="A31CB7A2DB394CEAB6726F70B23689EA"/>
    <w:rsid w:val="005F1C8D"/>
    <w:pPr>
      <w:bidi/>
      <w:spacing w:after="160" w:line="259" w:lineRule="auto"/>
    </w:pPr>
  </w:style>
  <w:style w:type="paragraph" w:customStyle="1" w:styleId="C0956EC9ECC14FB88B44ABFE3FB9987D">
    <w:name w:val="C0956EC9ECC14FB88B44ABFE3FB9987D"/>
    <w:rsid w:val="005F1C8D"/>
    <w:pPr>
      <w:bidi/>
      <w:spacing w:after="160" w:line="259" w:lineRule="auto"/>
    </w:pPr>
  </w:style>
  <w:style w:type="paragraph" w:customStyle="1" w:styleId="5C75CD899DBA40E5ADA9E84C158720EE">
    <w:name w:val="5C75CD899DBA40E5ADA9E84C158720EE"/>
    <w:rsid w:val="005F1C8D"/>
    <w:pPr>
      <w:bidi/>
      <w:spacing w:after="160" w:line="259" w:lineRule="auto"/>
    </w:pPr>
  </w:style>
  <w:style w:type="paragraph" w:customStyle="1" w:styleId="339160BEB6814720AF40E4FBE094DF4E">
    <w:name w:val="339160BEB6814720AF40E4FBE094DF4E"/>
    <w:rsid w:val="005F1C8D"/>
    <w:pPr>
      <w:bidi/>
      <w:spacing w:after="160" w:line="259" w:lineRule="auto"/>
    </w:pPr>
  </w:style>
  <w:style w:type="paragraph" w:customStyle="1" w:styleId="7CDE174BBE6B474BB7C0E3EC7A1DB8EC">
    <w:name w:val="7CDE174BBE6B474BB7C0E3EC7A1DB8EC"/>
    <w:rsid w:val="005F1C8D"/>
    <w:pPr>
      <w:bidi/>
      <w:spacing w:after="160" w:line="259" w:lineRule="auto"/>
    </w:pPr>
  </w:style>
  <w:style w:type="paragraph" w:customStyle="1" w:styleId="2610D7B825F6491EA68CC7B0FF656C5E">
    <w:name w:val="2610D7B825F6491EA68CC7B0FF656C5E"/>
    <w:rsid w:val="005F1C8D"/>
    <w:pPr>
      <w:bidi/>
      <w:spacing w:after="160" w:line="259" w:lineRule="auto"/>
    </w:pPr>
  </w:style>
  <w:style w:type="paragraph" w:customStyle="1" w:styleId="048968D56E824276B40D45C9E497E7CB">
    <w:name w:val="048968D56E824276B40D45C9E497E7CB"/>
    <w:rsid w:val="005F1C8D"/>
    <w:pPr>
      <w:bidi/>
      <w:spacing w:after="160" w:line="259" w:lineRule="auto"/>
    </w:pPr>
  </w:style>
  <w:style w:type="paragraph" w:customStyle="1" w:styleId="71B30CB7E85E4ABF9CD3B46307F9A352">
    <w:name w:val="71B30CB7E85E4ABF9CD3B46307F9A352"/>
    <w:rsid w:val="005F1C8D"/>
    <w:pPr>
      <w:bidi/>
      <w:spacing w:after="160" w:line="259" w:lineRule="auto"/>
    </w:pPr>
  </w:style>
  <w:style w:type="paragraph" w:customStyle="1" w:styleId="6E9B64DE82404F9B827427D9CBC581D61">
    <w:name w:val="6E9B64DE82404F9B827427D9CBC581D61"/>
    <w:rsid w:val="001437D3"/>
    <w:pPr>
      <w:bidi/>
      <w:spacing w:after="0" w:line="240" w:lineRule="auto"/>
    </w:pPr>
    <w:rPr>
      <w:rFonts w:ascii="Times New Roman" w:eastAsia="Times New Roman" w:hAnsi="Times New Roman" w:cs="David"/>
      <w:noProof/>
      <w:sz w:val="24"/>
      <w:szCs w:val="24"/>
    </w:rPr>
  </w:style>
  <w:style w:type="paragraph" w:customStyle="1" w:styleId="4975FDB7C9824906A8EDDDC584D8F3331">
    <w:name w:val="4975FDB7C9824906A8EDDDC584D8F3331"/>
    <w:rsid w:val="001437D3"/>
    <w:pPr>
      <w:bidi/>
      <w:spacing w:after="0" w:line="240" w:lineRule="auto"/>
    </w:pPr>
    <w:rPr>
      <w:rFonts w:ascii="Times New Roman" w:eastAsia="Times New Roman" w:hAnsi="Times New Roman" w:cs="David"/>
      <w:noProof/>
      <w:sz w:val="24"/>
      <w:szCs w:val="24"/>
    </w:rPr>
  </w:style>
  <w:style w:type="paragraph" w:customStyle="1" w:styleId="A31CB7A2DB394CEAB6726F70B23689EA1">
    <w:name w:val="A31CB7A2DB394CEAB6726F70B23689EA1"/>
    <w:rsid w:val="001437D3"/>
    <w:pPr>
      <w:bidi/>
      <w:spacing w:after="0" w:line="240" w:lineRule="auto"/>
    </w:pPr>
    <w:rPr>
      <w:rFonts w:ascii="Times New Roman" w:eastAsia="Times New Roman" w:hAnsi="Times New Roman" w:cs="David"/>
      <w:noProof/>
      <w:sz w:val="24"/>
      <w:szCs w:val="24"/>
    </w:rPr>
  </w:style>
  <w:style w:type="paragraph" w:customStyle="1" w:styleId="5C75CD899DBA40E5ADA9E84C158720EE1">
    <w:name w:val="5C75CD899DBA40E5ADA9E84C158720EE1"/>
    <w:rsid w:val="001437D3"/>
    <w:pPr>
      <w:bidi/>
      <w:spacing w:after="0" w:line="240" w:lineRule="auto"/>
    </w:pPr>
    <w:rPr>
      <w:rFonts w:ascii="Times New Roman" w:eastAsia="Times New Roman" w:hAnsi="Times New Roman" w:cs="David"/>
      <w:noProof/>
      <w:sz w:val="24"/>
      <w:szCs w:val="24"/>
    </w:rPr>
  </w:style>
  <w:style w:type="paragraph" w:customStyle="1" w:styleId="7CDE174BBE6B474BB7C0E3EC7A1DB8EC1">
    <w:name w:val="7CDE174BBE6B474BB7C0E3EC7A1DB8EC1"/>
    <w:rsid w:val="001437D3"/>
    <w:pPr>
      <w:bidi/>
      <w:spacing w:after="0" w:line="240" w:lineRule="auto"/>
    </w:pPr>
    <w:rPr>
      <w:rFonts w:ascii="Times New Roman" w:eastAsia="Times New Roman" w:hAnsi="Times New Roman" w:cs="David"/>
      <w:noProof/>
      <w:sz w:val="24"/>
      <w:szCs w:val="24"/>
    </w:rPr>
  </w:style>
  <w:style w:type="paragraph" w:customStyle="1" w:styleId="2610D7B825F6491EA68CC7B0FF656C5E1">
    <w:name w:val="2610D7B825F6491EA68CC7B0FF656C5E1"/>
    <w:rsid w:val="001437D3"/>
    <w:pPr>
      <w:bidi/>
      <w:spacing w:after="0" w:line="240" w:lineRule="auto"/>
    </w:pPr>
    <w:rPr>
      <w:rFonts w:ascii="Times New Roman" w:eastAsia="Times New Roman" w:hAnsi="Times New Roman" w:cs="David"/>
      <w:noProof/>
      <w:sz w:val="24"/>
      <w:szCs w:val="24"/>
    </w:rPr>
  </w:style>
  <w:style w:type="paragraph" w:customStyle="1" w:styleId="048968D56E824276B40D45C9E497E7CB1">
    <w:name w:val="048968D56E824276B40D45C9E497E7CB1"/>
    <w:rsid w:val="001437D3"/>
    <w:pPr>
      <w:bidi/>
      <w:spacing w:after="0" w:line="240" w:lineRule="auto"/>
    </w:pPr>
    <w:rPr>
      <w:rFonts w:ascii="Times New Roman" w:eastAsia="Times New Roman" w:hAnsi="Times New Roman" w:cs="David"/>
      <w:noProof/>
      <w:sz w:val="24"/>
      <w:szCs w:val="24"/>
    </w:rPr>
  </w:style>
  <w:style w:type="paragraph" w:customStyle="1" w:styleId="71B30CB7E85E4ABF9CD3B46307F9A3521">
    <w:name w:val="71B30CB7E85E4ABF9CD3B46307F9A3521"/>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1437D3"/>
    <w:pPr>
      <w:bidi/>
      <w:spacing w:after="0" w:line="240" w:lineRule="auto"/>
    </w:pPr>
    <w:rPr>
      <w:rFonts w:ascii="Times New Roman" w:eastAsia="Times New Roman" w:hAnsi="Times New Roman" w:cs="David"/>
      <w:noProof/>
      <w:sz w:val="24"/>
      <w:szCs w:val="24"/>
    </w:rPr>
  </w:style>
  <w:style w:type="paragraph" w:customStyle="1" w:styleId="6E9B64DE82404F9B827427D9CBC581D62">
    <w:name w:val="6E9B64DE82404F9B827427D9CBC581D62"/>
    <w:rsid w:val="00837871"/>
    <w:pPr>
      <w:bidi/>
      <w:spacing w:after="0" w:line="240" w:lineRule="auto"/>
    </w:pPr>
    <w:rPr>
      <w:rFonts w:ascii="Times New Roman" w:eastAsia="Times New Roman" w:hAnsi="Times New Roman" w:cs="David"/>
      <w:noProof/>
      <w:sz w:val="24"/>
      <w:szCs w:val="24"/>
    </w:rPr>
  </w:style>
  <w:style w:type="paragraph" w:customStyle="1" w:styleId="4975FDB7C9824906A8EDDDC584D8F3332">
    <w:name w:val="4975FDB7C9824906A8EDDDC584D8F3332"/>
    <w:rsid w:val="00837871"/>
    <w:pPr>
      <w:bidi/>
      <w:spacing w:after="0" w:line="240" w:lineRule="auto"/>
    </w:pPr>
    <w:rPr>
      <w:rFonts w:ascii="Times New Roman" w:eastAsia="Times New Roman" w:hAnsi="Times New Roman" w:cs="David"/>
      <w:noProof/>
      <w:sz w:val="24"/>
      <w:szCs w:val="24"/>
    </w:rPr>
  </w:style>
  <w:style w:type="paragraph" w:customStyle="1" w:styleId="A31CB7A2DB394CEAB6726F70B23689EA2">
    <w:name w:val="A31CB7A2DB394CEAB6726F70B23689EA2"/>
    <w:rsid w:val="00837871"/>
    <w:pPr>
      <w:bidi/>
      <w:spacing w:after="0" w:line="240" w:lineRule="auto"/>
    </w:pPr>
    <w:rPr>
      <w:rFonts w:ascii="Times New Roman" w:eastAsia="Times New Roman" w:hAnsi="Times New Roman" w:cs="David"/>
      <w:noProof/>
      <w:sz w:val="24"/>
      <w:szCs w:val="24"/>
    </w:rPr>
  </w:style>
  <w:style w:type="paragraph" w:customStyle="1" w:styleId="5C75CD899DBA40E5ADA9E84C158720EE2">
    <w:name w:val="5C75CD899DBA40E5ADA9E84C158720EE2"/>
    <w:rsid w:val="00837871"/>
    <w:pPr>
      <w:bidi/>
      <w:spacing w:after="0" w:line="240" w:lineRule="auto"/>
    </w:pPr>
    <w:rPr>
      <w:rFonts w:ascii="Times New Roman" w:eastAsia="Times New Roman" w:hAnsi="Times New Roman" w:cs="David"/>
      <w:noProof/>
      <w:sz w:val="24"/>
      <w:szCs w:val="24"/>
    </w:rPr>
  </w:style>
  <w:style w:type="paragraph" w:customStyle="1" w:styleId="7CDE174BBE6B474BB7C0E3EC7A1DB8EC2">
    <w:name w:val="7CDE174BBE6B474BB7C0E3EC7A1DB8EC2"/>
    <w:rsid w:val="00837871"/>
    <w:pPr>
      <w:bidi/>
      <w:spacing w:after="0" w:line="240" w:lineRule="auto"/>
    </w:pPr>
    <w:rPr>
      <w:rFonts w:ascii="Times New Roman" w:eastAsia="Times New Roman" w:hAnsi="Times New Roman" w:cs="David"/>
      <w:noProof/>
      <w:sz w:val="24"/>
      <w:szCs w:val="24"/>
    </w:rPr>
  </w:style>
  <w:style w:type="paragraph" w:customStyle="1" w:styleId="2610D7B825F6491EA68CC7B0FF656C5E2">
    <w:name w:val="2610D7B825F6491EA68CC7B0FF656C5E2"/>
    <w:rsid w:val="00837871"/>
    <w:pPr>
      <w:bidi/>
      <w:spacing w:after="0" w:line="240" w:lineRule="auto"/>
    </w:pPr>
    <w:rPr>
      <w:rFonts w:ascii="Times New Roman" w:eastAsia="Times New Roman" w:hAnsi="Times New Roman" w:cs="David"/>
      <w:noProof/>
      <w:sz w:val="24"/>
      <w:szCs w:val="24"/>
    </w:rPr>
  </w:style>
  <w:style w:type="paragraph" w:customStyle="1" w:styleId="048968D56E824276B40D45C9E497E7CB2">
    <w:name w:val="048968D56E824276B40D45C9E497E7CB2"/>
    <w:rsid w:val="00837871"/>
    <w:pPr>
      <w:bidi/>
      <w:spacing w:after="0" w:line="240" w:lineRule="auto"/>
    </w:pPr>
    <w:rPr>
      <w:rFonts w:ascii="Times New Roman" w:eastAsia="Times New Roman" w:hAnsi="Times New Roman" w:cs="David"/>
      <w:noProof/>
      <w:sz w:val="24"/>
      <w:szCs w:val="24"/>
    </w:rPr>
  </w:style>
  <w:style w:type="paragraph" w:customStyle="1" w:styleId="71B30CB7E85E4ABF9CD3B46307F9A3522">
    <w:name w:val="71B30CB7E85E4ABF9CD3B46307F9A3522"/>
    <w:rsid w:val="0083787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83787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5116</Words>
  <Characters>25583</Characters>
  <Application>Microsoft Office Word</Application>
  <DocSecurity>0</DocSecurity>
  <Lines>213</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2024-12-26T08:53:00Z</dcterms:created>
  <dcterms:modified xsi:type="dcterms:W3CDTF">2024-12-26T08:53:00Z</dcterms:modified>
</cp:coreProperties>
</file>